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59A" w:rsidRPr="0032059A" w:rsidRDefault="0032059A" w:rsidP="00DD70B9">
      <w:pPr>
        <w:pStyle w:val="JDtext"/>
        <w:spacing w:before="360" w:after="600"/>
        <w:rPr>
          <w:b/>
          <w:sz w:val="24"/>
          <w:szCs w:val="24"/>
        </w:rPr>
      </w:pPr>
      <w:r w:rsidRPr="0032059A">
        <w:rPr>
          <w:b/>
          <w:sz w:val="24"/>
          <w:szCs w:val="24"/>
        </w:rPr>
        <w:t>OBSAH</w:t>
      </w:r>
    </w:p>
    <w:p w:rsidR="00AC498D" w:rsidRPr="0032059A" w:rsidRDefault="000F4792" w:rsidP="00A0056A">
      <w:pPr>
        <w:pStyle w:val="JDtext"/>
        <w:spacing w:before="720" w:after="360"/>
        <w:rPr>
          <w:b/>
          <w:caps/>
          <w:sz w:val="24"/>
          <w:szCs w:val="24"/>
          <w:u w:val="single"/>
        </w:rPr>
      </w:pPr>
      <w:r w:rsidRPr="0032059A">
        <w:rPr>
          <w:b/>
          <w:caps/>
          <w:sz w:val="24"/>
          <w:szCs w:val="24"/>
          <w:u w:val="single"/>
        </w:rPr>
        <w:t>TECHNICKÁ ZPRÁVA</w:t>
      </w:r>
    </w:p>
    <w:p w:rsidR="006D432C" w:rsidRDefault="001604E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lang w:eastAsia="cs-CZ"/>
        </w:rPr>
      </w:pPr>
      <w:r w:rsidRPr="00CE3929">
        <w:fldChar w:fldCharType="begin"/>
      </w:r>
      <w:r w:rsidR="00FF2FB4" w:rsidRPr="00CE3929">
        <w:instrText xml:space="preserve"> TOC \t "JD_podnadpis;2;JD_nadpis;1" </w:instrText>
      </w:r>
      <w:r w:rsidRPr="00CE3929">
        <w:fldChar w:fldCharType="separate"/>
      </w:r>
      <w:r w:rsidR="006D432C">
        <w:t>1.</w:t>
      </w:r>
      <w:r w:rsidR="006D432C">
        <w:rPr>
          <w:rFonts w:asciiTheme="minorHAnsi" w:eastAsiaTheme="minorEastAsia" w:hAnsiTheme="minorHAnsi" w:cstheme="minorBidi"/>
          <w:b w:val="0"/>
          <w:bCs w:val="0"/>
          <w:caps w:val="0"/>
          <w:lang w:eastAsia="cs-CZ"/>
        </w:rPr>
        <w:tab/>
      </w:r>
      <w:r w:rsidR="006D432C">
        <w:t>ÚVOD</w:t>
      </w:r>
      <w:r w:rsidR="006D432C">
        <w:tab/>
      </w:r>
      <w:r w:rsidR="006D432C">
        <w:fldChar w:fldCharType="begin"/>
      </w:r>
      <w:r w:rsidR="006D432C">
        <w:instrText xml:space="preserve"> PAGEREF _Toc532253839 \h </w:instrText>
      </w:r>
      <w:r w:rsidR="006D432C">
        <w:fldChar w:fldCharType="separate"/>
      </w:r>
      <w:r w:rsidR="006D432C">
        <w:t>2</w:t>
      </w:r>
      <w:r w:rsidR="006D432C">
        <w:fldChar w:fldCharType="end"/>
      </w:r>
    </w:p>
    <w:p w:rsidR="006D432C" w:rsidRDefault="006D432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lang w:eastAsia="cs-CZ"/>
        </w:rPr>
      </w:pPr>
      <w: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lang w:eastAsia="cs-CZ"/>
        </w:rPr>
        <w:tab/>
      </w:r>
      <w:r>
        <w:t>STÁVAJÍCÍ STAV</w:t>
      </w:r>
      <w:r>
        <w:tab/>
      </w:r>
      <w:r>
        <w:fldChar w:fldCharType="begin"/>
      </w:r>
      <w:r>
        <w:instrText xml:space="preserve"> PAGEREF _Toc532253840 \h </w:instrText>
      </w:r>
      <w:r>
        <w:fldChar w:fldCharType="separate"/>
      </w:r>
      <w:r>
        <w:t>2</w:t>
      </w:r>
      <w:r>
        <w:fldChar w:fldCharType="end"/>
      </w:r>
    </w:p>
    <w:p w:rsidR="006D432C" w:rsidRDefault="006D432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lang w:eastAsia="cs-CZ"/>
        </w:rPr>
      </w:pPr>
      <w:r w:rsidRPr="00292F12"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lang w:eastAsia="cs-CZ"/>
        </w:rPr>
        <w:tab/>
      </w:r>
      <w:r w:rsidRPr="00292F12">
        <w:t>NOVÝ STAV</w:t>
      </w:r>
      <w:r>
        <w:tab/>
      </w:r>
      <w:r>
        <w:fldChar w:fldCharType="begin"/>
      </w:r>
      <w:r>
        <w:instrText xml:space="preserve"> PAGEREF _Toc532253841 \h </w:instrText>
      </w:r>
      <w:r>
        <w:fldChar w:fldCharType="separate"/>
      </w:r>
      <w:r>
        <w:t>2</w:t>
      </w:r>
      <w:r>
        <w:fldChar w:fldCharType="end"/>
      </w:r>
    </w:p>
    <w:p w:rsidR="006D432C" w:rsidRDefault="006D432C" w:rsidP="006D432C">
      <w:pPr>
        <w:pStyle w:val="JDobsah2"/>
        <w:rPr>
          <w:rFonts w:eastAsiaTheme="minorEastAsia"/>
          <w:b/>
          <w:lang w:eastAsia="cs-CZ"/>
        </w:rPr>
      </w:pPr>
      <w:r>
        <w:t>3.1.</w:t>
      </w:r>
      <w:r>
        <w:rPr>
          <w:rFonts w:eastAsiaTheme="minorEastAsia"/>
          <w:b/>
          <w:lang w:eastAsia="cs-CZ"/>
        </w:rPr>
        <w:tab/>
      </w:r>
      <w:r>
        <w:t>Tvar, rozměry, bourání</w:t>
      </w:r>
      <w:r>
        <w:tab/>
      </w:r>
      <w:r>
        <w:fldChar w:fldCharType="begin"/>
      </w:r>
      <w:r>
        <w:instrText xml:space="preserve"> PAGEREF _Toc532253842 \h </w:instrText>
      </w:r>
      <w:r>
        <w:fldChar w:fldCharType="separate"/>
      </w:r>
      <w:r>
        <w:t>2</w:t>
      </w:r>
      <w:r>
        <w:fldChar w:fldCharType="end"/>
      </w:r>
    </w:p>
    <w:p w:rsidR="006D432C" w:rsidRDefault="006D432C" w:rsidP="006D432C">
      <w:pPr>
        <w:pStyle w:val="JDobsah2"/>
        <w:rPr>
          <w:rFonts w:eastAsiaTheme="minorEastAsia"/>
          <w:b/>
          <w:lang w:eastAsia="cs-CZ"/>
        </w:rPr>
      </w:pPr>
      <w:r>
        <w:t>3.2.</w:t>
      </w:r>
      <w:r>
        <w:rPr>
          <w:rFonts w:eastAsiaTheme="minorEastAsia"/>
          <w:b/>
          <w:lang w:eastAsia="cs-CZ"/>
        </w:rPr>
        <w:tab/>
      </w:r>
      <w:r>
        <w:t>Rámová konstrukce</w:t>
      </w:r>
      <w:r>
        <w:tab/>
      </w:r>
      <w:r>
        <w:fldChar w:fldCharType="begin"/>
      </w:r>
      <w:r>
        <w:instrText xml:space="preserve"> PAGEREF _Toc532253843 \h </w:instrText>
      </w:r>
      <w:r>
        <w:fldChar w:fldCharType="separate"/>
      </w:r>
      <w:r>
        <w:t>3</w:t>
      </w:r>
      <w:r>
        <w:fldChar w:fldCharType="end"/>
      </w:r>
    </w:p>
    <w:p w:rsidR="006D432C" w:rsidRDefault="006D432C" w:rsidP="006D432C">
      <w:pPr>
        <w:pStyle w:val="JDobsah2"/>
        <w:rPr>
          <w:rFonts w:eastAsiaTheme="minorEastAsia"/>
          <w:b/>
          <w:lang w:eastAsia="cs-CZ"/>
        </w:rPr>
      </w:pPr>
      <w:r>
        <w:t>3.3.</w:t>
      </w:r>
      <w:r>
        <w:rPr>
          <w:rFonts w:eastAsiaTheme="minorEastAsia"/>
          <w:b/>
          <w:lang w:eastAsia="cs-CZ"/>
        </w:rPr>
        <w:tab/>
      </w:r>
      <w:r>
        <w:t>Konstrukce střechy</w:t>
      </w:r>
      <w:r>
        <w:tab/>
      </w:r>
      <w:r>
        <w:fldChar w:fldCharType="begin"/>
      </w:r>
      <w:r>
        <w:instrText xml:space="preserve"> PAGEREF _Toc532253844 \h </w:instrText>
      </w:r>
      <w:r>
        <w:fldChar w:fldCharType="separate"/>
      </w:r>
      <w:r>
        <w:t>3</w:t>
      </w:r>
      <w:r>
        <w:fldChar w:fldCharType="end"/>
      </w:r>
    </w:p>
    <w:p w:rsidR="006D432C" w:rsidRDefault="006D432C" w:rsidP="006D432C">
      <w:pPr>
        <w:pStyle w:val="JDobsah2"/>
        <w:rPr>
          <w:rFonts w:eastAsiaTheme="minorEastAsia"/>
          <w:b/>
          <w:lang w:eastAsia="cs-CZ"/>
        </w:rPr>
      </w:pPr>
      <w:r>
        <w:t>3.4.</w:t>
      </w:r>
      <w:r>
        <w:rPr>
          <w:rFonts w:eastAsiaTheme="minorEastAsia"/>
          <w:b/>
          <w:lang w:eastAsia="cs-CZ"/>
        </w:rPr>
        <w:tab/>
      </w:r>
      <w:r>
        <w:t>Svislé nosné konstrukce</w:t>
      </w:r>
      <w:r>
        <w:tab/>
      </w:r>
      <w:r>
        <w:fldChar w:fldCharType="begin"/>
      </w:r>
      <w:r>
        <w:instrText xml:space="preserve"> PAGEREF _Toc532253845 \h </w:instrText>
      </w:r>
      <w:r>
        <w:fldChar w:fldCharType="separate"/>
      </w:r>
      <w:r>
        <w:t>3</w:t>
      </w:r>
      <w:r>
        <w:fldChar w:fldCharType="end"/>
      </w:r>
    </w:p>
    <w:p w:rsidR="006D432C" w:rsidRDefault="006D432C" w:rsidP="006D432C">
      <w:pPr>
        <w:pStyle w:val="JDobsah2"/>
        <w:rPr>
          <w:rFonts w:eastAsiaTheme="minorEastAsia"/>
          <w:b/>
          <w:lang w:eastAsia="cs-CZ"/>
        </w:rPr>
      </w:pPr>
      <w:r>
        <w:t>3.5.</w:t>
      </w:r>
      <w:r>
        <w:rPr>
          <w:rFonts w:eastAsiaTheme="minorEastAsia"/>
          <w:b/>
          <w:lang w:eastAsia="cs-CZ"/>
        </w:rPr>
        <w:tab/>
      </w:r>
      <w:r>
        <w:t>Vodorovné nosné konstrukce</w:t>
      </w:r>
      <w:r>
        <w:tab/>
      </w:r>
      <w:r>
        <w:fldChar w:fldCharType="begin"/>
      </w:r>
      <w:r>
        <w:instrText xml:space="preserve"> PAGEREF _Toc532253846 \h </w:instrText>
      </w:r>
      <w:r>
        <w:fldChar w:fldCharType="separate"/>
      </w:r>
      <w:r>
        <w:t>3</w:t>
      </w:r>
      <w:r>
        <w:fldChar w:fldCharType="end"/>
      </w:r>
    </w:p>
    <w:p w:rsidR="006D432C" w:rsidRDefault="006D432C" w:rsidP="006D432C">
      <w:pPr>
        <w:pStyle w:val="JDobsah2"/>
        <w:rPr>
          <w:rFonts w:eastAsiaTheme="minorEastAsia"/>
          <w:b/>
          <w:lang w:eastAsia="cs-CZ"/>
        </w:rPr>
      </w:pPr>
      <w:r>
        <w:t>3.6.</w:t>
      </w:r>
      <w:r>
        <w:rPr>
          <w:rFonts w:eastAsiaTheme="minorEastAsia"/>
          <w:b/>
          <w:lang w:eastAsia="cs-CZ"/>
        </w:rPr>
        <w:tab/>
      </w:r>
      <w:r>
        <w:t>Základové konstrukce</w:t>
      </w:r>
      <w:r>
        <w:tab/>
      </w:r>
      <w:r>
        <w:fldChar w:fldCharType="begin"/>
      </w:r>
      <w:r>
        <w:instrText xml:space="preserve"> PAGEREF _Toc532253847 \h </w:instrText>
      </w:r>
      <w:r>
        <w:fldChar w:fldCharType="separate"/>
      </w:r>
      <w:r>
        <w:t>4</w:t>
      </w:r>
      <w:r>
        <w:fldChar w:fldCharType="end"/>
      </w:r>
    </w:p>
    <w:p w:rsidR="006D432C" w:rsidRDefault="006D432C" w:rsidP="006D432C">
      <w:pPr>
        <w:pStyle w:val="JDobsah2"/>
        <w:rPr>
          <w:rFonts w:eastAsiaTheme="minorEastAsia"/>
          <w:b/>
          <w:lang w:eastAsia="cs-CZ"/>
        </w:rPr>
      </w:pPr>
      <w:r>
        <w:t>3.7.</w:t>
      </w:r>
      <w:r>
        <w:rPr>
          <w:rFonts w:eastAsiaTheme="minorEastAsia"/>
          <w:b/>
          <w:lang w:eastAsia="cs-CZ"/>
        </w:rPr>
        <w:tab/>
      </w:r>
      <w:r>
        <w:t>Prostorová tuhost konstrukce</w:t>
      </w:r>
      <w:r>
        <w:tab/>
      </w:r>
      <w:r>
        <w:fldChar w:fldCharType="begin"/>
      </w:r>
      <w:r>
        <w:instrText xml:space="preserve"> PAGEREF _Toc532253848 \h </w:instrText>
      </w:r>
      <w:r>
        <w:fldChar w:fldCharType="separate"/>
      </w:r>
      <w:r>
        <w:t>4</w:t>
      </w:r>
      <w:r>
        <w:fldChar w:fldCharType="end"/>
      </w:r>
    </w:p>
    <w:p w:rsidR="006D432C" w:rsidRDefault="006D432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lang w:eastAsia="cs-CZ"/>
        </w:rPr>
      </w:pPr>
      <w: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lang w:eastAsia="cs-CZ"/>
        </w:rPr>
        <w:tab/>
      </w:r>
      <w:r>
        <w:t>MATERIÁLY NOSNÝCH KONSTRUKCÍ</w:t>
      </w:r>
      <w:r>
        <w:tab/>
      </w:r>
      <w:r>
        <w:fldChar w:fldCharType="begin"/>
      </w:r>
      <w:r>
        <w:instrText xml:space="preserve"> PAGEREF _Toc532253849 \h </w:instrText>
      </w:r>
      <w:r>
        <w:fldChar w:fldCharType="separate"/>
      </w:r>
      <w:r>
        <w:t>4</w:t>
      </w:r>
      <w:r>
        <w:fldChar w:fldCharType="end"/>
      </w:r>
    </w:p>
    <w:p w:rsidR="006D432C" w:rsidRDefault="006D432C" w:rsidP="006D432C">
      <w:pPr>
        <w:pStyle w:val="JDobsah2"/>
        <w:rPr>
          <w:rFonts w:eastAsiaTheme="minorEastAsia"/>
          <w:b/>
          <w:lang w:eastAsia="cs-CZ"/>
        </w:rPr>
      </w:pPr>
      <w:r>
        <w:t>4.1.</w:t>
      </w:r>
      <w:r>
        <w:rPr>
          <w:rFonts w:eastAsiaTheme="minorEastAsia"/>
          <w:b/>
          <w:lang w:eastAsia="cs-CZ"/>
        </w:rPr>
        <w:tab/>
      </w:r>
      <w:r>
        <w:t>Betonové a železobetonové konstrukce</w:t>
      </w:r>
      <w:r>
        <w:tab/>
      </w:r>
      <w:r>
        <w:fldChar w:fldCharType="begin"/>
      </w:r>
      <w:r>
        <w:instrText xml:space="preserve"> PAGEREF _Toc532253850 \h </w:instrText>
      </w:r>
      <w:r>
        <w:fldChar w:fldCharType="separate"/>
      </w:r>
      <w:r>
        <w:t>4</w:t>
      </w:r>
      <w:r>
        <w:fldChar w:fldCharType="end"/>
      </w:r>
    </w:p>
    <w:p w:rsidR="006D432C" w:rsidRDefault="006D432C" w:rsidP="006D432C">
      <w:pPr>
        <w:pStyle w:val="JDobsah2"/>
        <w:rPr>
          <w:rFonts w:eastAsiaTheme="minorEastAsia"/>
          <w:b/>
          <w:lang w:eastAsia="cs-CZ"/>
        </w:rPr>
      </w:pPr>
      <w:r>
        <w:t>4.2.</w:t>
      </w:r>
      <w:r>
        <w:rPr>
          <w:rFonts w:eastAsiaTheme="minorEastAsia"/>
          <w:b/>
          <w:lang w:eastAsia="cs-CZ"/>
        </w:rPr>
        <w:tab/>
      </w:r>
      <w:r>
        <w:t>Ocelové konstrukce</w:t>
      </w:r>
      <w:r>
        <w:tab/>
      </w:r>
      <w:r>
        <w:fldChar w:fldCharType="begin"/>
      </w:r>
      <w:r>
        <w:instrText xml:space="preserve"> PAGEREF _Toc532253851 \h </w:instrText>
      </w:r>
      <w:r>
        <w:fldChar w:fldCharType="separate"/>
      </w:r>
      <w:r>
        <w:t>4</w:t>
      </w:r>
      <w:r>
        <w:fldChar w:fldCharType="end"/>
      </w:r>
    </w:p>
    <w:p w:rsidR="006D432C" w:rsidRDefault="006D432C" w:rsidP="006D432C">
      <w:pPr>
        <w:pStyle w:val="JDobsah2"/>
        <w:rPr>
          <w:rFonts w:eastAsiaTheme="minorEastAsia"/>
          <w:b/>
          <w:lang w:eastAsia="cs-CZ"/>
        </w:rPr>
      </w:pPr>
      <w:r>
        <w:t>4.3.</w:t>
      </w:r>
      <w:r>
        <w:rPr>
          <w:rFonts w:eastAsiaTheme="minorEastAsia"/>
          <w:b/>
          <w:lang w:eastAsia="cs-CZ"/>
        </w:rPr>
        <w:tab/>
      </w:r>
      <w:r>
        <w:t>Zděné konstrukce</w:t>
      </w:r>
      <w:r>
        <w:tab/>
      </w:r>
      <w:r>
        <w:fldChar w:fldCharType="begin"/>
      </w:r>
      <w:r>
        <w:instrText xml:space="preserve"> PAGEREF _Toc532253852 \h </w:instrText>
      </w:r>
      <w:r>
        <w:fldChar w:fldCharType="separate"/>
      </w:r>
      <w:r>
        <w:t>5</w:t>
      </w:r>
      <w:r>
        <w:fldChar w:fldCharType="end"/>
      </w:r>
    </w:p>
    <w:p w:rsidR="006D432C" w:rsidRDefault="006D432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lang w:eastAsia="cs-CZ"/>
        </w:rPr>
      </w:pPr>
      <w: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lang w:eastAsia="cs-CZ"/>
        </w:rPr>
        <w:tab/>
      </w:r>
      <w:r>
        <w:t>použité podklady a normy</w:t>
      </w:r>
      <w:r>
        <w:tab/>
      </w:r>
      <w:r>
        <w:fldChar w:fldCharType="begin"/>
      </w:r>
      <w:r>
        <w:instrText xml:space="preserve"> PAGEREF _Toc532253853 \h </w:instrText>
      </w:r>
      <w:r>
        <w:fldChar w:fldCharType="separate"/>
      </w:r>
      <w:r>
        <w:t>5</w:t>
      </w:r>
      <w:r>
        <w:fldChar w:fldCharType="end"/>
      </w:r>
    </w:p>
    <w:p w:rsidR="006D432C" w:rsidRDefault="006D432C" w:rsidP="006D432C">
      <w:pPr>
        <w:pStyle w:val="JDobsah2"/>
        <w:rPr>
          <w:rFonts w:asciiTheme="minorHAnsi" w:eastAsiaTheme="minorEastAsia" w:hAnsiTheme="minorHAnsi" w:cstheme="minorBidi"/>
          <w:b/>
          <w:caps/>
          <w:lang w:eastAsia="cs-CZ"/>
        </w:rPr>
      </w:pPr>
      <w:r>
        <w:t>6.</w:t>
      </w:r>
      <w:r>
        <w:rPr>
          <w:rFonts w:asciiTheme="minorHAnsi" w:eastAsiaTheme="minorEastAsia" w:hAnsiTheme="minorHAnsi" w:cstheme="minorBidi"/>
          <w:b/>
          <w:caps/>
          <w:lang w:eastAsia="cs-CZ"/>
        </w:rPr>
        <w:tab/>
      </w:r>
      <w:r>
        <w:t>další podmínky a požadavky</w:t>
      </w:r>
      <w:r>
        <w:tab/>
      </w:r>
      <w:r>
        <w:fldChar w:fldCharType="begin"/>
      </w:r>
      <w:r>
        <w:instrText xml:space="preserve"> PAGEREF _Toc532253854 \h </w:instrText>
      </w:r>
      <w:r>
        <w:fldChar w:fldCharType="separate"/>
      </w:r>
      <w:r>
        <w:t>5</w:t>
      </w:r>
      <w:r>
        <w:fldChar w:fldCharType="end"/>
      </w:r>
    </w:p>
    <w:p w:rsidR="00CE3929" w:rsidRPr="00DD70B9" w:rsidRDefault="001604ED" w:rsidP="00DD70B9">
      <w:pPr>
        <w:pStyle w:val="JDtext"/>
        <w:spacing w:before="480"/>
        <w:rPr>
          <w:b/>
          <w:caps/>
        </w:rPr>
      </w:pPr>
      <w:r w:rsidRPr="00CE3929">
        <w:fldChar w:fldCharType="end"/>
      </w:r>
      <w:r w:rsidR="00CE3929" w:rsidRPr="0032059A">
        <w:rPr>
          <w:b/>
          <w:caps/>
          <w:sz w:val="24"/>
          <w:szCs w:val="24"/>
          <w:u w:val="single"/>
        </w:rPr>
        <w:t>STATICKÝ VÝPOČET</w:t>
      </w:r>
      <w:r w:rsidR="00DD70B9">
        <w:rPr>
          <w:b/>
          <w:caps/>
        </w:rPr>
        <w:tab/>
      </w:r>
      <w:r w:rsidR="00DD70B9">
        <w:rPr>
          <w:b/>
          <w:caps/>
        </w:rPr>
        <w:tab/>
      </w:r>
      <w:r w:rsidR="00DD70B9">
        <w:rPr>
          <w:b/>
          <w:caps/>
        </w:rPr>
        <w:tab/>
      </w:r>
      <w:r w:rsidR="00DD70B9">
        <w:rPr>
          <w:b/>
          <w:caps/>
        </w:rPr>
        <w:tab/>
      </w:r>
      <w:r w:rsidR="00DD70B9">
        <w:rPr>
          <w:b/>
          <w:caps/>
        </w:rPr>
        <w:tab/>
      </w:r>
      <w:r w:rsidR="00DD70B9">
        <w:rPr>
          <w:b/>
          <w:caps/>
        </w:rPr>
        <w:tab/>
      </w:r>
      <w:r w:rsidR="00DD70B9">
        <w:rPr>
          <w:b/>
          <w:caps/>
        </w:rPr>
        <w:tab/>
      </w:r>
      <w:r w:rsidR="00E37813">
        <w:rPr>
          <w:b/>
          <w:caps/>
        </w:rPr>
        <w:t xml:space="preserve"> </w:t>
      </w:r>
      <w:proofErr w:type="gramStart"/>
      <w:r w:rsidR="00E37813">
        <w:rPr>
          <w:b/>
          <w:caps/>
        </w:rPr>
        <w:tab/>
      </w:r>
      <w:r w:rsidR="00DD70B9">
        <w:rPr>
          <w:b/>
          <w:caps/>
        </w:rPr>
        <w:t xml:space="preserve">  </w:t>
      </w:r>
      <w:r w:rsidR="00DD70B9" w:rsidRPr="00DD70B9">
        <w:t>od</w:t>
      </w:r>
      <w:proofErr w:type="gramEnd"/>
      <w:r w:rsidR="00DD70B9" w:rsidRPr="00DD70B9">
        <w:t xml:space="preserve"> strany</w:t>
      </w:r>
      <w:r w:rsidR="00E37813">
        <w:t xml:space="preserve"> </w:t>
      </w:r>
      <w:r w:rsidR="00DD70B9" w:rsidRPr="00DD70B9">
        <w:t xml:space="preserve"> </w:t>
      </w:r>
      <w:r w:rsidR="00401D8A">
        <w:rPr>
          <w:b/>
        </w:rPr>
        <w:t>6</w:t>
      </w:r>
    </w:p>
    <w:p w:rsidR="009C04DE" w:rsidRDefault="009C04DE" w:rsidP="00B67ADE">
      <w:pPr>
        <w:pStyle w:val="JDtext"/>
      </w:pPr>
    </w:p>
    <w:p w:rsidR="009C04DE" w:rsidRDefault="009C04DE" w:rsidP="00B67ADE">
      <w:pPr>
        <w:pStyle w:val="JDtext"/>
      </w:pPr>
    </w:p>
    <w:p w:rsidR="009C04DE" w:rsidRDefault="009C04DE" w:rsidP="00B67ADE">
      <w:pPr>
        <w:pStyle w:val="JDtext"/>
      </w:pPr>
    </w:p>
    <w:p w:rsidR="009C04DE" w:rsidRDefault="009C04DE" w:rsidP="00B67ADE">
      <w:pPr>
        <w:pStyle w:val="JDtext"/>
      </w:pPr>
      <w:bookmarkStart w:id="0" w:name="_GoBack"/>
      <w:bookmarkEnd w:id="0"/>
    </w:p>
    <w:p w:rsidR="00AC498D" w:rsidRDefault="00AC498D" w:rsidP="00B67ADE">
      <w:pPr>
        <w:pStyle w:val="JDtext"/>
      </w:pPr>
    </w:p>
    <w:p w:rsidR="00DD70B9" w:rsidRDefault="00DD70B9" w:rsidP="00B67ADE">
      <w:pPr>
        <w:pStyle w:val="JDtext"/>
      </w:pPr>
    </w:p>
    <w:p w:rsidR="00DD70B9" w:rsidRDefault="00DD70B9" w:rsidP="00B67ADE">
      <w:pPr>
        <w:pStyle w:val="JDtext"/>
      </w:pPr>
    </w:p>
    <w:p w:rsidR="00DD70B9" w:rsidRDefault="00DD70B9" w:rsidP="00B67ADE">
      <w:pPr>
        <w:pStyle w:val="JDtext"/>
      </w:pPr>
    </w:p>
    <w:p w:rsidR="00DD70B9" w:rsidRDefault="00DD70B9" w:rsidP="00B67ADE">
      <w:pPr>
        <w:pStyle w:val="JDtext"/>
      </w:pPr>
    </w:p>
    <w:p w:rsidR="00AC498D" w:rsidRDefault="00AC498D" w:rsidP="00B67ADE">
      <w:pPr>
        <w:pStyle w:val="JDtext"/>
      </w:pPr>
    </w:p>
    <w:p w:rsidR="006E3B76" w:rsidRDefault="006E3B76" w:rsidP="00B67ADE">
      <w:pPr>
        <w:pStyle w:val="JDtext"/>
      </w:pPr>
    </w:p>
    <w:p w:rsidR="00C016F6" w:rsidRDefault="00C016F6" w:rsidP="00C016F6">
      <w:pPr>
        <w:pStyle w:val="JDtext"/>
      </w:pPr>
    </w:p>
    <w:p w:rsidR="00A0056A" w:rsidRDefault="00A0056A" w:rsidP="00C016F6">
      <w:pPr>
        <w:pStyle w:val="JDtext"/>
      </w:pPr>
    </w:p>
    <w:p w:rsidR="00BD40D1" w:rsidRDefault="00BD40D1" w:rsidP="00BD40D1">
      <w:pPr>
        <w:pStyle w:val="JDnadpis"/>
        <w:numPr>
          <w:ilvl w:val="0"/>
          <w:numId w:val="2"/>
        </w:numPr>
      </w:pPr>
      <w:bookmarkStart w:id="1" w:name="_Toc532253839"/>
      <w:r>
        <w:lastRenderedPageBreak/>
        <w:t>ÚVOD</w:t>
      </w:r>
      <w:bookmarkEnd w:id="1"/>
    </w:p>
    <w:p w:rsidR="00650AE3" w:rsidRDefault="00650AE3" w:rsidP="00BD40D1">
      <w:pPr>
        <w:pStyle w:val="JDtext"/>
      </w:pPr>
      <w:r>
        <w:t xml:space="preserve">Předmětem řešení je jedna ze stávajících budov MŠ Motýlek v Liberci (ulice Broumovská 840/7). Stavba stojí na </w:t>
      </w:r>
      <w:proofErr w:type="spellStart"/>
      <w:r>
        <w:t>p.p.č</w:t>
      </w:r>
      <w:proofErr w:type="spellEnd"/>
      <w:r>
        <w:t>. 1366/30 v katastrálním území Rochlice u Liberce.</w:t>
      </w:r>
    </w:p>
    <w:p w:rsidR="00650AE3" w:rsidRDefault="00650AE3" w:rsidP="00BD40D1">
      <w:pPr>
        <w:pStyle w:val="JDtext"/>
      </w:pPr>
      <w:r>
        <w:t xml:space="preserve">V rámci optimalizace kapacit mateřské školy je navržena nástavba objektu o jedno patro a další stavební úpravy. </w:t>
      </w:r>
      <w:r w:rsidR="00C60E86">
        <w:t>Tato část projektu řeší nosné konstrukce objektu – nové nosné konstrukce a stávající nosné konstrukce, které budou dotčeny stavebními úpravami (tj. zásahy a přitížením).</w:t>
      </w:r>
    </w:p>
    <w:p w:rsidR="0002761F" w:rsidRDefault="00541895" w:rsidP="0002761F">
      <w:pPr>
        <w:pStyle w:val="JDnadpis"/>
        <w:numPr>
          <w:ilvl w:val="0"/>
          <w:numId w:val="2"/>
        </w:numPr>
      </w:pPr>
      <w:bookmarkStart w:id="2" w:name="_Toc532253840"/>
      <w:r>
        <w:t>STÁVAJÍCÍ STAV</w:t>
      </w:r>
      <w:bookmarkEnd w:id="2"/>
    </w:p>
    <w:p w:rsidR="00C60E86" w:rsidRDefault="00C60E86" w:rsidP="00C60E86">
      <w:pPr>
        <w:pStyle w:val="JDtext"/>
      </w:pPr>
      <w:r>
        <w:t xml:space="preserve">Jedná se o přízemní nepodsklepený objekt s plochou střechou. </w:t>
      </w:r>
      <w:r w:rsidR="004A7347">
        <w:t xml:space="preserve">Půdorysné rozměry řešené části jsou 12,75 x 18,60 m. </w:t>
      </w:r>
      <w:r>
        <w:t xml:space="preserve">Z konstrukčního hlediska jde o montovaný kombinovaný systém z železobetonových prefabrikovaných dílců. Převládá spíše skelet se sloupy 400x400 mm, podstatné jsou ale také </w:t>
      </w:r>
      <w:r w:rsidR="00C523A0">
        <w:t xml:space="preserve">nosné stěny </w:t>
      </w:r>
      <w:proofErr w:type="spellStart"/>
      <w:r w:rsidR="00C523A0">
        <w:t>tl</w:t>
      </w:r>
      <w:proofErr w:type="spellEnd"/>
      <w:r w:rsidR="00C523A0">
        <w:t xml:space="preserve">. 300 mm (obvodové i vnitřní). Je třeba ověřit, jestli nejsou z lehkého betonu. Na stěny </w:t>
      </w:r>
      <w:proofErr w:type="spellStart"/>
      <w:r w:rsidR="00C523A0">
        <w:t>tl</w:t>
      </w:r>
      <w:proofErr w:type="spellEnd"/>
      <w:r w:rsidR="00C523A0">
        <w:t xml:space="preserve">. 150 a 200 mm nejsou uloženy stropy. Středová stěna </w:t>
      </w:r>
      <w:proofErr w:type="spellStart"/>
      <w:r w:rsidR="00C523A0">
        <w:t>tl</w:t>
      </w:r>
      <w:proofErr w:type="spellEnd"/>
      <w:r w:rsidR="00C523A0">
        <w:t>. 200 mm možná částečně plní ztužující funkci (v novém stavu bude zachována).</w:t>
      </w:r>
      <w:r w:rsidR="004A7347">
        <w:t xml:space="preserve"> Hlavními vodorovnými prvky jsou ploché deskové průvlaky v úrovni stropu (konstrukce ploché střechy nad 1.NP). Na průvlaky a na krajní příčné stěny jsou ukládány </w:t>
      </w:r>
      <w:proofErr w:type="spellStart"/>
      <w:r w:rsidR="004A7347">
        <w:t>žb</w:t>
      </w:r>
      <w:proofErr w:type="spellEnd"/>
      <w:r w:rsidR="004A7347">
        <w:t xml:space="preserve"> stropní panely </w:t>
      </w:r>
      <w:proofErr w:type="spellStart"/>
      <w:r w:rsidR="004A7347">
        <w:t>tl</w:t>
      </w:r>
      <w:proofErr w:type="spellEnd"/>
      <w:r w:rsidR="004A7347">
        <w:t>. 2</w:t>
      </w:r>
      <w:r w:rsidR="00F2789B">
        <w:t>5</w:t>
      </w:r>
      <w:r w:rsidR="004A7347">
        <w:t>0 mm.</w:t>
      </w:r>
      <w:r w:rsidR="00591EFA">
        <w:t xml:space="preserve"> Objekt je založen plošně – na základových patkách a pasech.</w:t>
      </w:r>
    </w:p>
    <w:p w:rsidR="00541895" w:rsidRDefault="004A7347" w:rsidP="00C60E86">
      <w:pPr>
        <w:pStyle w:val="JDtext"/>
      </w:pPr>
      <w:r>
        <w:t xml:space="preserve">Mateřská škola je tvořena komplexem několika budov. Dvě vedlejší budovy jsou dvoupodlažní. </w:t>
      </w:r>
      <w:r w:rsidR="00591EFA">
        <w:t xml:space="preserve">Z dostupné původní projektové dokumentace vyplývá, že nosné konstrukce řešené přízemní budovy jsou stejné jako nosné konstrukce vedlejších dvoupodlažních budov. </w:t>
      </w:r>
      <w:r w:rsidR="00882CAC">
        <w:t xml:space="preserve">Proto </w:t>
      </w:r>
      <w:r w:rsidR="00882CAC" w:rsidRPr="00882CAC">
        <w:rPr>
          <w:b/>
        </w:rPr>
        <w:t>i po navýšení o jedno patro jsou stávající nosné konstrukce považovány za vyhovující</w:t>
      </w:r>
      <w:r w:rsidR="00882CAC">
        <w:t>. Tíha podlahových souvrství je obdobná, nové stěny nástavby a nový střešní plášť budou lehčí než u stávající dvoupodlažní budovy. Užitné zatížení stropů nad 1.NP bude stejné</w:t>
      </w:r>
      <w:r w:rsidR="00541895">
        <w:t>.</w:t>
      </w:r>
    </w:p>
    <w:p w:rsidR="004A7347" w:rsidRDefault="00541895" w:rsidP="00C60E86">
      <w:pPr>
        <w:pStyle w:val="JDtext"/>
      </w:pPr>
      <w:r>
        <w:t>Z výše popsaného lze předpokládat, že i stávající základové konstrukce budou dostatečné a nebude nutné je upravovat (zvětšovat). Doporučuji však provést inženýrsko-geologický průzkum, který ověří, že pod řešeným objektem jsou obdobné základové poměry jako u vedlejších dvoupodlažních budov. Pokud by byly zjištěny výrazně jiné (horší) podmínky, tak je nutné na to reagovat a navrhnout úpravu základů.</w:t>
      </w:r>
    </w:p>
    <w:p w:rsidR="00541895" w:rsidRPr="006E3B76" w:rsidRDefault="00541895" w:rsidP="00541895">
      <w:pPr>
        <w:pStyle w:val="JDnadpis"/>
        <w:numPr>
          <w:ilvl w:val="0"/>
          <w:numId w:val="2"/>
        </w:numPr>
        <w:rPr>
          <w:color w:val="auto"/>
        </w:rPr>
      </w:pPr>
      <w:bookmarkStart w:id="3" w:name="_Toc532253841"/>
      <w:r w:rsidRPr="006E3B76">
        <w:rPr>
          <w:color w:val="auto"/>
        </w:rPr>
        <w:t>NOVÝ STAV</w:t>
      </w:r>
      <w:bookmarkEnd w:id="3"/>
    </w:p>
    <w:p w:rsidR="00AC498D" w:rsidRDefault="00277375" w:rsidP="0002761F">
      <w:pPr>
        <w:pStyle w:val="JDpodnadpis"/>
        <w:numPr>
          <w:ilvl w:val="1"/>
          <w:numId w:val="4"/>
        </w:numPr>
        <w:ind w:left="510" w:hanging="510"/>
      </w:pPr>
      <w:bookmarkStart w:id="4" w:name="_Toc532253842"/>
      <w:r>
        <w:t>Tvar</w:t>
      </w:r>
      <w:r w:rsidR="00424117">
        <w:t>,</w:t>
      </w:r>
      <w:r>
        <w:t xml:space="preserve"> r</w:t>
      </w:r>
      <w:r w:rsidR="00AC498D">
        <w:t>ozměry</w:t>
      </w:r>
      <w:r w:rsidR="00424117">
        <w:t>, bourání</w:t>
      </w:r>
      <w:bookmarkEnd w:id="4"/>
    </w:p>
    <w:p w:rsidR="004F7209" w:rsidRDefault="0015495D" w:rsidP="00983798">
      <w:pPr>
        <w:pStyle w:val="JDtext"/>
      </w:pPr>
      <w:r>
        <w:t xml:space="preserve">Nástavba bude provedena na stávajícím obdélníkovém půdoryse 12,75 </w:t>
      </w:r>
      <w:r w:rsidR="00B84088">
        <w:t xml:space="preserve">x 18,60 </w:t>
      </w:r>
      <w:r>
        <w:t>m.</w:t>
      </w:r>
      <w:r w:rsidR="00F2789B">
        <w:t xml:space="preserve"> Nástavba o jedno patro navýší objekt cca o 3,5 m, takže nově bude výška budovy (horní hrany atiky) přibližně 8,0 m nad přilehlým terénem.</w:t>
      </w:r>
      <w:r w:rsidR="00B84088">
        <w:t xml:space="preserve"> Střecha bude plochá a její </w:t>
      </w:r>
      <w:r w:rsidR="00F2789B">
        <w:t xml:space="preserve">spád </w:t>
      </w:r>
      <w:r w:rsidR="00B84088">
        <w:t xml:space="preserve">bude </w:t>
      </w:r>
      <w:r w:rsidR="00F2789B">
        <w:t>vytvořen pomocí EPS klínů.</w:t>
      </w:r>
    </w:p>
    <w:p w:rsidR="00F2789B" w:rsidRDefault="00F2789B" w:rsidP="00983798">
      <w:pPr>
        <w:pStyle w:val="JDtext"/>
      </w:pPr>
      <w:r>
        <w:t>Většina stávajících nosných konstrukcí bude zachována a ponechána bez úprav.</w:t>
      </w:r>
      <w:r w:rsidR="009C2FAE">
        <w:t xml:space="preserve"> Z dispozičních důvodů bude odstraněno několik vnitřních stěn. Žádná z nich však není primárně nosná – nepodpírá konstrukci stropu. Ani stabilita objektu tímto zásahem nebude negativně ovlivněna.</w:t>
      </w:r>
    </w:p>
    <w:p w:rsidR="009C2FAE" w:rsidRDefault="009C2FAE" w:rsidP="00983798">
      <w:pPr>
        <w:pStyle w:val="JDtext"/>
      </w:pPr>
      <w:r>
        <w:t xml:space="preserve">V jedné vnitřní nosné stěně bude nově proveden otvor pro standardní dveře (šířka otvoru 1,0 m). Jedná se o stěnu v přízemí mezi učebnou a chodbou, na kterou bude postavena nová obvodová (štítová) stěna ve 2.NP. Předpokládá se, že stávající stěna </w:t>
      </w:r>
      <w:proofErr w:type="spellStart"/>
      <w:r>
        <w:t>tl</w:t>
      </w:r>
      <w:proofErr w:type="spellEnd"/>
      <w:r>
        <w:t xml:space="preserve">. 300 mm je z lehčeného betonu </w:t>
      </w:r>
      <w:r w:rsidR="00067D6F">
        <w:t xml:space="preserve">a do vyřezaných drážek nad otvorem bude osazen nový překlad </w:t>
      </w:r>
      <w:r w:rsidR="00067D6F" w:rsidRPr="00A1175D">
        <w:rPr>
          <w:b/>
        </w:rPr>
        <w:t>2x IPE </w:t>
      </w:r>
      <w:proofErr w:type="gramStart"/>
      <w:r w:rsidR="00067D6F" w:rsidRPr="00A1175D">
        <w:rPr>
          <w:b/>
        </w:rPr>
        <w:t>100</w:t>
      </w:r>
      <w:r w:rsidR="00067D6F">
        <w:t xml:space="preserve"> – z</w:t>
      </w:r>
      <w:proofErr w:type="gramEnd"/>
      <w:r w:rsidR="00067D6F">
        <w:t> každé strany jeden profil. Tento předpoklad je třeba před realizací ověřit. Pokud by se jednalo o hutnou železobetonovou stěnu, tak bude návrh upraven.</w:t>
      </w:r>
    </w:p>
    <w:p w:rsidR="004F7209" w:rsidRDefault="004F7209" w:rsidP="00983798">
      <w:pPr>
        <w:pStyle w:val="JDtext"/>
      </w:pPr>
    </w:p>
    <w:p w:rsidR="004F7209" w:rsidRDefault="004F7209" w:rsidP="00983798">
      <w:pPr>
        <w:pStyle w:val="JDtext"/>
      </w:pPr>
    </w:p>
    <w:p w:rsidR="00AC498D" w:rsidRDefault="00067D6F" w:rsidP="0002761F">
      <w:pPr>
        <w:pStyle w:val="JDpodnadpis"/>
        <w:numPr>
          <w:ilvl w:val="1"/>
          <w:numId w:val="4"/>
        </w:numPr>
        <w:ind w:left="510" w:hanging="510"/>
      </w:pPr>
      <w:bookmarkStart w:id="5" w:name="_Toc532253843"/>
      <w:r>
        <w:lastRenderedPageBreak/>
        <w:t>Rámová konstrukce</w:t>
      </w:r>
      <w:bookmarkEnd w:id="5"/>
    </w:p>
    <w:p w:rsidR="00067D6F" w:rsidRDefault="00067D6F" w:rsidP="00DD70B9">
      <w:pPr>
        <w:pStyle w:val="JDtext"/>
      </w:pPr>
      <w:r>
        <w:t>Hlavním nosným prvkem nástavby jsou dva identické sdružené ocelové rámy</w:t>
      </w:r>
      <w:r w:rsidR="00A1175D">
        <w:t xml:space="preserve"> (příčné vazby)</w:t>
      </w:r>
      <w:r>
        <w:t>, které jsou osově vzdáleny 6,0 m. Rám</w:t>
      </w:r>
      <w:r w:rsidR="00A1175D">
        <w:t xml:space="preserve"> ve 2.NP</w:t>
      </w:r>
      <w:r>
        <w:t xml:space="preserve"> </w:t>
      </w:r>
      <w:r w:rsidR="00A1175D">
        <w:t>je</w:t>
      </w:r>
      <w:r>
        <w:t xml:space="preserve"> tvořen třemi sloupy </w:t>
      </w:r>
      <w:r w:rsidRPr="00A1175D">
        <w:rPr>
          <w:b/>
        </w:rPr>
        <w:t>HEB 200</w:t>
      </w:r>
      <w:r w:rsidR="00A1175D">
        <w:t xml:space="preserve">. Vzdálenost mezi obvodovým a vnitřním sloupem je 5,80 resp. 5,85 m. Ke sloupům bude připojen vodorovný průvlak </w:t>
      </w:r>
      <w:r w:rsidR="00A1175D" w:rsidRPr="00A1175D">
        <w:rPr>
          <w:b/>
        </w:rPr>
        <w:t>IPE 270</w:t>
      </w:r>
      <w:r w:rsidR="00A1175D">
        <w:t>.</w:t>
      </w:r>
      <w:r>
        <w:t xml:space="preserve"> </w:t>
      </w:r>
      <w:r w:rsidR="00A1175D">
        <w:t xml:space="preserve">Přípoj sloupu a průvlaku (příčle) bude navržen jako tuhý, a to i u středního sloupu. </w:t>
      </w:r>
      <w:r w:rsidR="00310398">
        <w:t xml:space="preserve">Tuhosti přípoje napomůžou šikmé náběhy mezi sloupem a průvlakem. </w:t>
      </w:r>
      <w:r w:rsidR="00A1175D">
        <w:t>Nové ocelové sloupy jsou umístěny centricky nad stávajícími železobetonovými sloupy.</w:t>
      </w:r>
      <w:r>
        <w:t xml:space="preserve"> </w:t>
      </w:r>
      <w:r w:rsidR="005D7D99">
        <w:t xml:space="preserve">Obvodové sloupy budou kotveny do nového pozedního věnce a budou obetonovány. Vnitřní </w:t>
      </w:r>
      <w:r w:rsidR="00A1175D">
        <w:t>sloupy budou kotveny do stávající nosné konstrukce stropu.</w:t>
      </w:r>
    </w:p>
    <w:p w:rsidR="00504165" w:rsidRDefault="00504165" w:rsidP="00504165">
      <w:pPr>
        <w:pStyle w:val="JDpodnadpis"/>
        <w:numPr>
          <w:ilvl w:val="1"/>
          <w:numId w:val="4"/>
        </w:numPr>
        <w:ind w:left="510" w:hanging="510"/>
      </w:pPr>
      <w:bookmarkStart w:id="6" w:name="_Toc532253844"/>
      <w:r>
        <w:t>Konstrukce střechy</w:t>
      </w:r>
      <w:bookmarkEnd w:id="6"/>
    </w:p>
    <w:p w:rsidR="00504165" w:rsidRDefault="00504165" w:rsidP="00DD70B9">
      <w:pPr>
        <w:pStyle w:val="JDtext"/>
      </w:pPr>
      <w:r>
        <w:t xml:space="preserve">Nosnou konstrukci střechy budou tvořit kromě ocelových rámů (průvlaků) ocelové vaznice z válcovaných profilů </w:t>
      </w:r>
      <w:r w:rsidRPr="00504165">
        <w:rPr>
          <w:b/>
        </w:rPr>
        <w:t>IPE 180</w:t>
      </w:r>
      <w:r>
        <w:t xml:space="preserve">, které budou v osových vzdálenostech 1,50 m. Vaznice budou orientovány podélně a budou podepřeny ocelovými průvlaky IPE 270 a štítovými stěnami (vaznice ukládány na </w:t>
      </w:r>
      <w:proofErr w:type="spellStart"/>
      <w:r>
        <w:t>žb</w:t>
      </w:r>
      <w:proofErr w:type="spellEnd"/>
      <w:r>
        <w:t xml:space="preserve"> věnec). Horní příruby vaznic a průvlaků budou lícovat. Na vaznice bude ukládán trapézový plech TR 40/160</w:t>
      </w:r>
      <w:r w:rsidR="00B35089">
        <w:t xml:space="preserve"> </w:t>
      </w:r>
      <w:proofErr w:type="spellStart"/>
      <w:r w:rsidR="00B35089">
        <w:t>tl</w:t>
      </w:r>
      <w:proofErr w:type="spellEnd"/>
      <w:r w:rsidR="00B35089">
        <w:t xml:space="preserve">. </w:t>
      </w:r>
      <w:r w:rsidR="005D7D99">
        <w:t>1,0</w:t>
      </w:r>
      <w:r w:rsidR="00B35089">
        <w:t xml:space="preserve"> mm. Trapézový plech bude k vaznicím a k průvlakům přivařen (po max. 300 mm).</w:t>
      </w:r>
    </w:p>
    <w:p w:rsidR="00067D6F" w:rsidRDefault="00067D6F" w:rsidP="00067D6F">
      <w:pPr>
        <w:pStyle w:val="JDpodnadpis"/>
        <w:numPr>
          <w:ilvl w:val="1"/>
          <w:numId w:val="4"/>
        </w:numPr>
        <w:ind w:left="510" w:hanging="510"/>
      </w:pPr>
      <w:bookmarkStart w:id="7" w:name="_Toc532253845"/>
      <w:r>
        <w:t>Svislé nosné konstrukce</w:t>
      </w:r>
      <w:bookmarkEnd w:id="7"/>
    </w:p>
    <w:p w:rsidR="005D7D99" w:rsidRDefault="00ED7C09" w:rsidP="00DD70B9">
      <w:pPr>
        <w:pStyle w:val="JDtext"/>
      </w:pPr>
      <w:r>
        <w:t xml:space="preserve">Kromě ocelových sloupů budou ve 2.NP další svislé nosné konstrukce. A to zděné stěny z pórobetonových tvárnic převážně </w:t>
      </w:r>
      <w:proofErr w:type="spellStart"/>
      <w:r>
        <w:t>tl</w:t>
      </w:r>
      <w:proofErr w:type="spellEnd"/>
      <w:r>
        <w:t>. 250 mm</w:t>
      </w:r>
      <w:r w:rsidR="00302AFE">
        <w:rPr>
          <w:lang w:val="en-US"/>
        </w:rPr>
        <w:t>;</w:t>
      </w:r>
      <w:r w:rsidR="00302AFE">
        <w:t xml:space="preserve"> severní (severozápadní) štítová stěna bude </w:t>
      </w:r>
      <w:proofErr w:type="spellStart"/>
      <w:r w:rsidR="00302AFE">
        <w:t>tl</w:t>
      </w:r>
      <w:proofErr w:type="spellEnd"/>
      <w:r w:rsidR="00302AFE">
        <w:t>. 375 mm</w:t>
      </w:r>
      <w:r>
        <w:t xml:space="preserve">. </w:t>
      </w:r>
      <w:r w:rsidR="005D7D99">
        <w:t xml:space="preserve">Ocelové HEB sloupy budou obetonovány, čímž vzniknou železobetonové pilíře </w:t>
      </w:r>
      <w:proofErr w:type="spellStart"/>
      <w:r w:rsidR="005D7D99">
        <w:t>tl</w:t>
      </w:r>
      <w:proofErr w:type="spellEnd"/>
      <w:r w:rsidR="005D7D99">
        <w:t xml:space="preserve">. 250 mm. Druhý půdorysný rozměr pilíře bude převážně 600 mm. Na této </w:t>
      </w:r>
      <w:proofErr w:type="spellStart"/>
      <w:r w:rsidR="005D7D99">
        <w:t>obetonávce</w:t>
      </w:r>
      <w:proofErr w:type="spellEnd"/>
      <w:r w:rsidR="005D7D99">
        <w:t xml:space="preserve"> bude uložen železobetonový věnec V2a. Svislá výztuž </w:t>
      </w:r>
      <w:proofErr w:type="spellStart"/>
      <w:r w:rsidR="005D7D99">
        <w:t>obetonávky</w:t>
      </w:r>
      <w:proofErr w:type="spellEnd"/>
      <w:r w:rsidR="005D7D99">
        <w:t xml:space="preserve"> bude zatažena k hornímu povrchu věnce.</w:t>
      </w:r>
    </w:p>
    <w:p w:rsidR="00A1175D" w:rsidRDefault="00253BEE" w:rsidP="00DD70B9">
      <w:pPr>
        <w:pStyle w:val="JDtext"/>
      </w:pPr>
      <w:r>
        <w:t xml:space="preserve">Dále jsou navrženy železobetonové monolitické stěny pro schodiště a výtahovou šachtu. Tyto nové stěny </w:t>
      </w:r>
      <w:proofErr w:type="spellStart"/>
      <w:r>
        <w:t>tl</w:t>
      </w:r>
      <w:proofErr w:type="spellEnd"/>
      <w:r>
        <w:t>. 180 mm budou v obou patrech.</w:t>
      </w:r>
      <w:r w:rsidR="001B33A2">
        <w:t xml:space="preserve"> Velmi důležitá je podélná schodišťová stěna pod stávajícím deskovým prefabrikovaným průvlakem. Stěna a průvlak budou propojeny výztuží (dodatečně kotvenou do průvlaku) a tím bude zajištěna stabilita průvlaku i po odstranění </w:t>
      </w:r>
      <w:r w:rsidR="005F34E7">
        <w:t>stávajících stropních panelů v místě nového schodiště. Příznivě bude působit také přitížení průvlaku stěnou ve 2.NP.</w:t>
      </w:r>
    </w:p>
    <w:p w:rsidR="00AC498D" w:rsidRDefault="00AC498D" w:rsidP="0002761F">
      <w:pPr>
        <w:pStyle w:val="JDpodnadpis"/>
        <w:numPr>
          <w:ilvl w:val="1"/>
          <w:numId w:val="4"/>
        </w:numPr>
        <w:ind w:left="510" w:hanging="510"/>
      </w:pPr>
      <w:bookmarkStart w:id="8" w:name="_Toc532253846"/>
      <w:r>
        <w:t>Vodorovné nosné konstrukce</w:t>
      </w:r>
      <w:bookmarkEnd w:id="8"/>
    </w:p>
    <w:p w:rsidR="00B609A8" w:rsidRDefault="00302AFE" w:rsidP="00DD70B9">
      <w:pPr>
        <w:pStyle w:val="JDtext"/>
      </w:pPr>
      <w:r>
        <w:t xml:space="preserve">V konstrukci budou dva nové železobetonové věnce, které jsou navrženy pro ztužení objektu a dále budou plnit funkci překladu v místech okenních otvorů. Oba věnce jdou po celém obvodě objektu. Jeden (spodní) věnec bude </w:t>
      </w:r>
      <w:proofErr w:type="spellStart"/>
      <w:r>
        <w:t>nabetonován</w:t>
      </w:r>
      <w:proofErr w:type="spellEnd"/>
      <w:r>
        <w:t xml:space="preserve"> na stávající strop – tj. spodní hrana tohoto věnce bude na stávajících stropních panelech ve výšce +3,13 m.</w:t>
      </w:r>
      <w:r w:rsidR="00B609A8">
        <w:t xml:space="preserve"> Tento věnec šířky </w:t>
      </w:r>
      <w:r w:rsidR="005D7D99">
        <w:t xml:space="preserve">převážně </w:t>
      </w:r>
      <w:r w:rsidR="00B609A8">
        <w:t>250 mm pod novými obvodovými stěnami bude mít výšku 500 mm na podélných stěnách a 250 mm na příčných štítových stěnách. Horní věnec v úrovni střechy bude mít horní hranu v úrovni horních př</w:t>
      </w:r>
      <w:r w:rsidR="00B84088">
        <w:t>írub ocelových vaznic a průvlaků</w:t>
      </w:r>
      <w:r w:rsidR="00B609A8">
        <w:t>, tj. +6,85 m. Průřez tohoto věnce bude 250</w:t>
      </w:r>
      <w:r w:rsidR="005D7D99">
        <w:t xml:space="preserve"> (a 375)</w:t>
      </w:r>
      <w:r w:rsidR="00B609A8">
        <w:t xml:space="preserve"> x </w:t>
      </w:r>
      <w:r w:rsidR="005D7D99">
        <w:t>720</w:t>
      </w:r>
      <w:r w:rsidR="00B609A8">
        <w:t xml:space="preserve"> mm. Na podélných stěnách bude vylit na celou výšku, na štítových </w:t>
      </w:r>
      <w:proofErr w:type="gramStart"/>
      <w:r w:rsidR="00B609A8">
        <w:t>stěnách  bude</w:t>
      </w:r>
      <w:proofErr w:type="gramEnd"/>
      <w:r w:rsidR="00B609A8">
        <w:t xml:space="preserve"> v první fázi vybetonován pouze na výšku </w:t>
      </w:r>
      <w:r w:rsidR="006D432C">
        <w:t>540</w:t>
      </w:r>
      <w:r w:rsidR="00B609A8">
        <w:t xml:space="preserve"> mm</w:t>
      </w:r>
      <w:r w:rsidR="00BA3A54">
        <w:t xml:space="preserve"> a p</w:t>
      </w:r>
      <w:r w:rsidR="00B609A8">
        <w:t>o uložení s</w:t>
      </w:r>
      <w:r w:rsidR="00BA3A54">
        <w:t xml:space="preserve">třešních vaznic bude dobetonován zbytek výšky 180 mm. Věnce budou vyztuženy podélnou a příčnou výztuží – v rozích objektu musí být podélná výztuž řádně provázána. </w:t>
      </w:r>
      <w:r w:rsidR="00F7726F">
        <w:t>Podélná výztuž bude</w:t>
      </w:r>
      <w:r w:rsidR="00B84088">
        <w:t xml:space="preserve"> také</w:t>
      </w:r>
      <w:r w:rsidR="00F7726F">
        <w:t xml:space="preserve"> </w:t>
      </w:r>
      <w:r w:rsidR="006D432C">
        <w:t xml:space="preserve">napojena </w:t>
      </w:r>
      <w:r w:rsidR="00F7726F">
        <w:t xml:space="preserve">k ocelovým </w:t>
      </w:r>
      <w:r w:rsidR="006D432C">
        <w:t>sloupům HEB200</w:t>
      </w:r>
      <w:r w:rsidR="00F7726F">
        <w:t>.</w:t>
      </w:r>
      <w:r w:rsidR="00BA3A54">
        <w:t xml:space="preserve"> </w:t>
      </w:r>
      <w:r>
        <w:t xml:space="preserve"> </w:t>
      </w:r>
    </w:p>
    <w:p w:rsidR="00BA3A54" w:rsidRDefault="001B33A2" w:rsidP="00DD70B9">
      <w:pPr>
        <w:pStyle w:val="JDtext"/>
      </w:pPr>
      <w:r>
        <w:t xml:space="preserve">Hlavní schodiště bude deskové železobetonové monolitické. </w:t>
      </w:r>
      <w:r w:rsidR="006D432C">
        <w:t>Konstrukce schodiště (</w:t>
      </w:r>
      <w:proofErr w:type="spellStart"/>
      <w:r w:rsidR="006D432C">
        <w:t>sch</w:t>
      </w:r>
      <w:proofErr w:type="spellEnd"/>
      <w:r w:rsidR="006D432C">
        <w:t xml:space="preserve">. ramena a mezipodesta) bude kotvena do přilehlých </w:t>
      </w:r>
      <w:proofErr w:type="spellStart"/>
      <w:r w:rsidR="006D432C">
        <w:t>žb</w:t>
      </w:r>
      <w:proofErr w:type="spellEnd"/>
      <w:r w:rsidR="006D432C">
        <w:t xml:space="preserve"> stěn – provázáním výztuže a pomocí tzv. vylamovacích trnů (osazených před betonáží). </w:t>
      </w:r>
      <w:r>
        <w:t>Tloušťk</w:t>
      </w:r>
      <w:r w:rsidR="00B84088">
        <w:t>a</w:t>
      </w:r>
      <w:r>
        <w:t xml:space="preserve"> desek (ramene a mezipodesty) je navržena 1</w:t>
      </w:r>
      <w:r w:rsidR="006D432C">
        <w:t>6</w:t>
      </w:r>
      <w:r>
        <w:t>0 mm.</w:t>
      </w:r>
      <w:r w:rsidR="006D432C">
        <w:t xml:space="preserve"> V</w:t>
      </w:r>
      <w:r>
        <w:t>ýstupní rameno bude vyneseno v úrovni stropu ocelovým nosníkem. V místě schodišťového prostoru budou stávající stropní panely odstraněny (odřezány) a případně budou některé části dobetonovány.</w:t>
      </w:r>
    </w:p>
    <w:p w:rsidR="00B35089" w:rsidRPr="00367A95" w:rsidRDefault="00B35089" w:rsidP="00DD70B9">
      <w:pPr>
        <w:pStyle w:val="JDtext"/>
      </w:pPr>
      <w:r>
        <w:lastRenderedPageBreak/>
        <w:t xml:space="preserve">Venkovní únikové schodiště bude ocelové. Jeho základním nosným prvkem bude ocelové vřeteno – trubka TR 194/10 mm. Dále je důležitá ocelová podesta v úrovni stropu 2.NP, která má mj. ztužující funkci. </w:t>
      </w:r>
      <w:r w:rsidR="00367A95">
        <w:t xml:space="preserve">Podestu bude tvořit rám z profilů U 120, který bude kotvený do obvodové konstrukce (do nového </w:t>
      </w:r>
      <w:proofErr w:type="spellStart"/>
      <w:r w:rsidR="00367A95">
        <w:t>žb</w:t>
      </w:r>
      <w:proofErr w:type="spellEnd"/>
      <w:r w:rsidR="00367A95">
        <w:t xml:space="preserve"> věnce). Dvě příčné rozpěry IPE 80 vytvoří tři pole, ve kterých půjdou křížem diagonály z tyčoviny</w:t>
      </w:r>
      <w:r w:rsidR="00367A95" w:rsidRPr="00367A95">
        <w:t xml:space="preserve"> ø</w:t>
      </w:r>
      <w:r w:rsidR="00367A95">
        <w:t xml:space="preserve"> 12 mm.</w:t>
      </w:r>
    </w:p>
    <w:p w:rsidR="003C6B00" w:rsidRDefault="003C6B00" w:rsidP="003C6B00">
      <w:pPr>
        <w:pStyle w:val="JDpodnadpis"/>
        <w:numPr>
          <w:ilvl w:val="1"/>
          <w:numId w:val="4"/>
        </w:numPr>
        <w:ind w:left="510" w:hanging="510"/>
      </w:pPr>
      <w:bookmarkStart w:id="9" w:name="_Toc532253847"/>
      <w:r>
        <w:t>Základové konstrukce</w:t>
      </w:r>
      <w:bookmarkEnd w:id="9"/>
    </w:p>
    <w:p w:rsidR="00B609A8" w:rsidRDefault="003C6B00" w:rsidP="00DD70B9">
      <w:pPr>
        <w:pStyle w:val="JDtext"/>
      </w:pPr>
      <w:r>
        <w:t xml:space="preserve">Pod novými stěnami </w:t>
      </w:r>
      <w:r w:rsidR="00310398">
        <w:t xml:space="preserve">budou provedeny nové základové pasy z prostého betonu. Jedná se především o základy pod schodišťové stěny a pod výtahovou šachtu. </w:t>
      </w:r>
      <w:r w:rsidR="00B84088">
        <w:t>Nová z</w:t>
      </w:r>
      <w:r w:rsidR="00310398">
        <w:t>ákladová spára bude respektovat základovou spáru stávajících základů.</w:t>
      </w:r>
    </w:p>
    <w:p w:rsidR="00B609A8" w:rsidRDefault="00310398" w:rsidP="00DD70B9">
      <w:pPr>
        <w:pStyle w:val="JDtext"/>
      </w:pPr>
      <w:r>
        <w:t>Pod rourou vřetenového schodiště bude základová patka z prostého betonu – předběžně o rozměrech 1,2</w:t>
      </w:r>
      <w:r w:rsidR="00B84088">
        <w:t xml:space="preserve"> </w:t>
      </w:r>
      <w:r>
        <w:t>x</w:t>
      </w:r>
      <w:r w:rsidR="00B84088">
        <w:t xml:space="preserve"> </w:t>
      </w:r>
      <w:r>
        <w:t>1,2</w:t>
      </w:r>
      <w:r w:rsidR="00B84088">
        <w:t xml:space="preserve"> </w:t>
      </w:r>
      <w:r>
        <w:t>x</w:t>
      </w:r>
      <w:r w:rsidR="00B84088">
        <w:t xml:space="preserve"> </w:t>
      </w:r>
      <w:r>
        <w:t>1,2 m. Ocelová trubka bude zabetonována min. 600 mm do patky.</w:t>
      </w:r>
    </w:p>
    <w:p w:rsidR="00AC498D" w:rsidRDefault="00AC498D" w:rsidP="000F4792">
      <w:pPr>
        <w:pStyle w:val="JDpodnadpis"/>
        <w:numPr>
          <w:ilvl w:val="1"/>
          <w:numId w:val="4"/>
        </w:numPr>
        <w:ind w:left="510" w:hanging="510"/>
      </w:pPr>
      <w:bookmarkStart w:id="10" w:name="_Toc532253848"/>
      <w:r>
        <w:t>Prostorová tuhost konstrukce</w:t>
      </w:r>
      <w:bookmarkEnd w:id="10"/>
    </w:p>
    <w:p w:rsidR="00310398" w:rsidRDefault="006E3B76" w:rsidP="00DD70B9">
      <w:pPr>
        <w:pStyle w:val="JDtext"/>
      </w:pPr>
      <w:r>
        <w:t xml:space="preserve">Prostorová tuhost stávající přízemní části nebude ničím negativně ovlivněna – bude i nadále dostatečná. Prostorovou tuhost nástavby a celého objektu zajistí </w:t>
      </w:r>
      <w:proofErr w:type="spellStart"/>
      <w:r>
        <w:t>žb</w:t>
      </w:r>
      <w:proofErr w:type="spellEnd"/>
      <w:r>
        <w:t xml:space="preserve"> věnce a dostatečně tuhé ocelové rámy v příčném směru. Ztužujícím prvkem střešní roviny je trapézový plech přivařený k ocelovým nosníkům.</w:t>
      </w:r>
    </w:p>
    <w:p w:rsidR="0002761F" w:rsidRDefault="0002761F" w:rsidP="0002761F">
      <w:pPr>
        <w:pStyle w:val="JDnadpis"/>
        <w:numPr>
          <w:ilvl w:val="0"/>
          <w:numId w:val="7"/>
        </w:numPr>
      </w:pPr>
      <w:bookmarkStart w:id="11" w:name="_Toc532253849"/>
      <w:r>
        <w:t>MATERIÁLY NOSNÝCH KONSTRUKCÍ</w:t>
      </w:r>
      <w:bookmarkEnd w:id="11"/>
    </w:p>
    <w:p w:rsidR="00DB07F7" w:rsidRDefault="00DB07F7" w:rsidP="00DB07F7">
      <w:pPr>
        <w:pStyle w:val="JDtext"/>
      </w:pPr>
      <w:r>
        <w:t xml:space="preserve">V následující kapitole jsou specifikovány materiály použité </w:t>
      </w:r>
      <w:r w:rsidR="00E15B2C">
        <w:t xml:space="preserve">na </w:t>
      </w:r>
      <w:r w:rsidR="00E15B2C" w:rsidRPr="00E15B2C">
        <w:rPr>
          <w:u w:val="single"/>
        </w:rPr>
        <w:t xml:space="preserve">nové nosné </w:t>
      </w:r>
      <w:r w:rsidRPr="00E15B2C">
        <w:rPr>
          <w:u w:val="single"/>
        </w:rPr>
        <w:t>konstrukc</w:t>
      </w:r>
      <w:r w:rsidR="00E15B2C" w:rsidRPr="00E15B2C">
        <w:rPr>
          <w:u w:val="single"/>
        </w:rPr>
        <w:t>e</w:t>
      </w:r>
      <w:r>
        <w:t>. Dále jsou zde uvedeny všeobecné podmínky a požadavky pro konstrukce z jednotlivých materiálů.</w:t>
      </w:r>
    </w:p>
    <w:p w:rsidR="0015044F" w:rsidRDefault="0015044F" w:rsidP="0002761F">
      <w:pPr>
        <w:pStyle w:val="JDpodnadpis"/>
        <w:numPr>
          <w:ilvl w:val="3"/>
          <w:numId w:val="2"/>
        </w:numPr>
        <w:ind w:left="510" w:hanging="510"/>
      </w:pPr>
      <w:bookmarkStart w:id="12" w:name="_Toc532253850"/>
      <w:r>
        <w:t>Betonové a železobetonové konstrukce</w:t>
      </w:r>
      <w:bookmarkEnd w:id="12"/>
    </w:p>
    <w:p w:rsidR="00347B70" w:rsidRDefault="00347B70" w:rsidP="00347B70">
      <w:pPr>
        <w:pStyle w:val="JDtext"/>
      </w:pPr>
      <w:r>
        <w:t xml:space="preserve">V konstrukci </w:t>
      </w:r>
      <w:r w:rsidR="00E15B2C">
        <w:t>bude</w:t>
      </w:r>
      <w:r>
        <w:t xml:space="preserve"> použito betonů následující kvality:</w:t>
      </w:r>
    </w:p>
    <w:p w:rsidR="00347B70" w:rsidRDefault="00347B70" w:rsidP="003E0101">
      <w:pPr>
        <w:pStyle w:val="JDtext"/>
        <w:numPr>
          <w:ilvl w:val="0"/>
          <w:numId w:val="10"/>
        </w:numPr>
      </w:pPr>
      <w:r w:rsidRPr="00A27D16">
        <w:rPr>
          <w:b/>
        </w:rPr>
        <w:t>C16/20 X0</w:t>
      </w:r>
      <w:r>
        <w:t xml:space="preserve"> na </w:t>
      </w:r>
      <w:r w:rsidR="00E15B2C">
        <w:t xml:space="preserve">nové základové </w:t>
      </w:r>
      <w:r w:rsidR="00947C8F">
        <w:t>konstrukce</w:t>
      </w:r>
      <w:r>
        <w:t xml:space="preserve"> z prostého betonu</w:t>
      </w:r>
    </w:p>
    <w:p w:rsidR="00347B70" w:rsidRDefault="00347B70" w:rsidP="003E0101">
      <w:pPr>
        <w:pStyle w:val="JDtext"/>
        <w:numPr>
          <w:ilvl w:val="0"/>
          <w:numId w:val="10"/>
        </w:numPr>
      </w:pPr>
      <w:r w:rsidRPr="00A27D16">
        <w:rPr>
          <w:b/>
        </w:rPr>
        <w:t>C2</w:t>
      </w:r>
      <w:r w:rsidR="00205ABC" w:rsidRPr="00A27D16">
        <w:rPr>
          <w:b/>
        </w:rPr>
        <w:t>0</w:t>
      </w:r>
      <w:r w:rsidRPr="00A27D16">
        <w:rPr>
          <w:b/>
        </w:rPr>
        <w:t>/</w:t>
      </w:r>
      <w:r w:rsidR="00205ABC" w:rsidRPr="00A27D16">
        <w:rPr>
          <w:b/>
        </w:rPr>
        <w:t>25</w:t>
      </w:r>
      <w:r w:rsidRPr="00A27D16">
        <w:rPr>
          <w:b/>
        </w:rPr>
        <w:t xml:space="preserve"> XC1</w:t>
      </w:r>
      <w:r>
        <w:t xml:space="preserve"> na železobetonové </w:t>
      </w:r>
      <w:r w:rsidR="00E15B2C">
        <w:t>konstrukce v interiéru (věnce</w:t>
      </w:r>
      <w:r>
        <w:t xml:space="preserve">, </w:t>
      </w:r>
      <w:r w:rsidR="00E15B2C">
        <w:t>stěny, schodiště</w:t>
      </w:r>
      <w:r w:rsidR="00FD742B">
        <w:t>…</w:t>
      </w:r>
      <w:r w:rsidR="00E15B2C">
        <w:t>)</w:t>
      </w:r>
    </w:p>
    <w:p w:rsidR="00A27D16" w:rsidRDefault="00205ABC" w:rsidP="00A27D16">
      <w:pPr>
        <w:pStyle w:val="JDtext"/>
      </w:pPr>
      <w:r>
        <w:t>Použit</w:t>
      </w:r>
      <w:r w:rsidR="003E0101">
        <w:t>é</w:t>
      </w:r>
      <w:r>
        <w:t xml:space="preserve"> beton</w:t>
      </w:r>
      <w:r w:rsidR="003E0101">
        <w:t>y odpovídají normě ČSN EN 206-1</w:t>
      </w:r>
      <w:r w:rsidR="00A27D16">
        <w:t xml:space="preserve"> a</w:t>
      </w:r>
      <w:r>
        <w:t xml:space="preserve"> j</w:t>
      </w:r>
      <w:r w:rsidR="00A27D16">
        <w:t>sou charakterizovány svou pevností.</w:t>
      </w:r>
    </w:p>
    <w:p w:rsidR="00205ABC" w:rsidRDefault="00A27D16" w:rsidP="00A27D16">
      <w:pPr>
        <w:pStyle w:val="JDtext"/>
      </w:pPr>
      <w:r>
        <w:t>V tabulce jsou uvedeny charakteristické hodnoty pevností pro jednotlivé třídy betonu:</w:t>
      </w:r>
    </w:p>
    <w:p w:rsidR="00675CDF" w:rsidRDefault="009517A4" w:rsidP="00675CDF">
      <w:pPr>
        <w:pStyle w:val="JDtext"/>
        <w:spacing w:before="240" w:after="18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3.1pt;width:198pt;height:89.4pt;z-index:251660288;mso-wrap-distance-right:19.85pt;mso-wrap-distance-bottom:2.85pt;mso-position-horizontal:left;mso-width-relative:margin;mso-height-relative:margin" stroked="f">
            <v:textbox style="mso-next-textbox:#_x0000_s1026">
              <w:txbxContent>
                <w:tbl>
                  <w:tblPr>
                    <w:tblW w:w="3834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66"/>
                    <w:gridCol w:w="1134"/>
                    <w:gridCol w:w="1134"/>
                  </w:tblGrid>
                  <w:tr w:rsidR="00FF2FB4" w:rsidTr="00FF2FB4">
                    <w:trPr>
                      <w:trHeight w:val="441"/>
                      <w:jc w:val="center"/>
                    </w:trPr>
                    <w:tc>
                      <w:tcPr>
                        <w:tcW w:w="1566" w:type="dxa"/>
                        <w:tcBorders>
                          <w:bottom w:val="double" w:sz="4" w:space="0" w:color="auto"/>
                          <w:right w:val="double" w:sz="4" w:space="0" w:color="auto"/>
                        </w:tcBorders>
                      </w:tcPr>
                      <w:p w:rsidR="00FF2FB4" w:rsidRDefault="00FF2FB4" w:rsidP="0031612C">
                        <w:pPr>
                          <w:pStyle w:val="JDtext"/>
                          <w:jc w:val="center"/>
                        </w:pPr>
                        <w:r>
                          <w:t>třída / pevnost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double" w:sz="4" w:space="0" w:color="auto"/>
                          <w:bottom w:val="double" w:sz="4" w:space="0" w:color="auto"/>
                        </w:tcBorders>
                      </w:tcPr>
                      <w:p w:rsidR="00FF2FB4" w:rsidRPr="00675CDF" w:rsidRDefault="00FF2FB4" w:rsidP="0031612C">
                        <w:pPr>
                          <w:pStyle w:val="JDtext"/>
                          <w:jc w:val="center"/>
                        </w:pPr>
                        <w:r w:rsidRPr="00675CDF">
                          <w:t xml:space="preserve">v tlaku </w:t>
                        </w:r>
                        <w:proofErr w:type="spellStart"/>
                        <w:r w:rsidRPr="00675CDF">
                          <w:t>f</w:t>
                        </w:r>
                        <w:r w:rsidRPr="00675CDF">
                          <w:rPr>
                            <w:vertAlign w:val="subscript"/>
                          </w:rPr>
                          <w:t>ck</w:t>
                        </w:r>
                        <w:proofErr w:type="spellEnd"/>
                      </w:p>
                    </w:tc>
                    <w:tc>
                      <w:tcPr>
                        <w:tcW w:w="1134" w:type="dxa"/>
                        <w:tcBorders>
                          <w:bottom w:val="double" w:sz="4" w:space="0" w:color="auto"/>
                        </w:tcBorders>
                      </w:tcPr>
                      <w:p w:rsidR="00FF2FB4" w:rsidRDefault="00FF2FB4" w:rsidP="0031612C">
                        <w:pPr>
                          <w:pStyle w:val="JDtext"/>
                          <w:jc w:val="center"/>
                        </w:pPr>
                        <w:r>
                          <w:t xml:space="preserve">v tahu </w:t>
                        </w:r>
                        <w:proofErr w:type="spellStart"/>
                        <w:r>
                          <w:t>f</w:t>
                        </w:r>
                        <w:r>
                          <w:rPr>
                            <w:vertAlign w:val="subscript"/>
                          </w:rPr>
                          <w:t>ctk</w:t>
                        </w:r>
                        <w:proofErr w:type="spellEnd"/>
                      </w:p>
                    </w:tc>
                  </w:tr>
                  <w:tr w:rsidR="00FF2FB4" w:rsidTr="00FF2FB4">
                    <w:trPr>
                      <w:trHeight w:val="493"/>
                      <w:jc w:val="center"/>
                    </w:trPr>
                    <w:tc>
                      <w:tcPr>
                        <w:tcW w:w="1566" w:type="dxa"/>
                        <w:tcBorders>
                          <w:right w:val="double" w:sz="4" w:space="0" w:color="auto"/>
                        </w:tcBorders>
                      </w:tcPr>
                      <w:p w:rsidR="00FF2FB4" w:rsidRDefault="00FF2FB4" w:rsidP="006D04D9">
                        <w:pPr>
                          <w:pStyle w:val="JDtext"/>
                          <w:jc w:val="center"/>
                        </w:pPr>
                        <w:r>
                          <w:t>beton C16/20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double" w:sz="4" w:space="0" w:color="auto"/>
                        </w:tcBorders>
                      </w:tcPr>
                      <w:p w:rsidR="00FF2FB4" w:rsidRDefault="00FF2FB4" w:rsidP="006D04D9">
                        <w:pPr>
                          <w:pStyle w:val="JDtext"/>
                          <w:jc w:val="center"/>
                        </w:pPr>
                        <w:r>
                          <w:t xml:space="preserve">16 </w:t>
                        </w:r>
                        <w:proofErr w:type="spellStart"/>
                        <w:r w:rsidRPr="00A27D16">
                          <w:rPr>
                            <w:sz w:val="18"/>
                            <w:szCs w:val="18"/>
                          </w:rPr>
                          <w:t>MPa</w:t>
                        </w:r>
                        <w:proofErr w:type="spellEnd"/>
                      </w:p>
                    </w:tc>
                    <w:tc>
                      <w:tcPr>
                        <w:tcW w:w="1134" w:type="dxa"/>
                      </w:tcPr>
                      <w:p w:rsidR="00FF2FB4" w:rsidRDefault="00FF2FB4" w:rsidP="006D04D9">
                        <w:pPr>
                          <w:pStyle w:val="JDtext"/>
                          <w:jc w:val="center"/>
                        </w:pPr>
                        <w:r>
                          <w:t xml:space="preserve">1,3 </w:t>
                        </w:r>
                        <w:proofErr w:type="spellStart"/>
                        <w:r w:rsidRPr="00A27D16">
                          <w:rPr>
                            <w:sz w:val="18"/>
                            <w:szCs w:val="18"/>
                          </w:rPr>
                          <w:t>MPa</w:t>
                        </w:r>
                        <w:proofErr w:type="spellEnd"/>
                      </w:p>
                    </w:tc>
                  </w:tr>
                  <w:tr w:rsidR="00FF2FB4" w:rsidTr="00FF2FB4">
                    <w:trPr>
                      <w:trHeight w:val="493"/>
                      <w:jc w:val="center"/>
                    </w:trPr>
                    <w:tc>
                      <w:tcPr>
                        <w:tcW w:w="1566" w:type="dxa"/>
                        <w:tcBorders>
                          <w:right w:val="double" w:sz="4" w:space="0" w:color="auto"/>
                        </w:tcBorders>
                      </w:tcPr>
                      <w:p w:rsidR="00FF2FB4" w:rsidRDefault="00FF2FB4" w:rsidP="006D04D9">
                        <w:pPr>
                          <w:pStyle w:val="JDtext"/>
                          <w:jc w:val="center"/>
                        </w:pPr>
                        <w:r>
                          <w:t>beton C20/25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double" w:sz="4" w:space="0" w:color="auto"/>
                        </w:tcBorders>
                      </w:tcPr>
                      <w:p w:rsidR="00FF2FB4" w:rsidRDefault="00FF2FB4" w:rsidP="006D04D9">
                        <w:pPr>
                          <w:pStyle w:val="JDtext"/>
                          <w:jc w:val="center"/>
                        </w:pPr>
                        <w:r>
                          <w:t xml:space="preserve">20 </w:t>
                        </w:r>
                        <w:proofErr w:type="spellStart"/>
                        <w:r w:rsidRPr="00A27D16">
                          <w:rPr>
                            <w:sz w:val="18"/>
                            <w:szCs w:val="18"/>
                          </w:rPr>
                          <w:t>MPa</w:t>
                        </w:r>
                        <w:proofErr w:type="spellEnd"/>
                      </w:p>
                    </w:tc>
                    <w:tc>
                      <w:tcPr>
                        <w:tcW w:w="1134" w:type="dxa"/>
                      </w:tcPr>
                      <w:p w:rsidR="00FF2FB4" w:rsidRDefault="00FF2FB4" w:rsidP="006D04D9">
                        <w:pPr>
                          <w:pStyle w:val="JDtext"/>
                          <w:jc w:val="center"/>
                        </w:pPr>
                        <w:r>
                          <w:t xml:space="preserve">1,5 </w:t>
                        </w:r>
                        <w:proofErr w:type="spellStart"/>
                        <w:r w:rsidRPr="00A27D16">
                          <w:rPr>
                            <w:sz w:val="18"/>
                            <w:szCs w:val="18"/>
                          </w:rPr>
                          <w:t>MPa</w:t>
                        </w:r>
                        <w:proofErr w:type="spellEnd"/>
                      </w:p>
                    </w:tc>
                  </w:tr>
                </w:tbl>
                <w:p w:rsidR="00FF2FB4" w:rsidRDefault="00FF2FB4"/>
              </w:txbxContent>
            </v:textbox>
            <w10:wrap type="square"/>
          </v:shape>
        </w:pict>
      </w:r>
      <w:r w:rsidR="00675CDF">
        <w:t>Stupně vlivu prostředí:</w:t>
      </w:r>
    </w:p>
    <w:p w:rsidR="00A27D16" w:rsidRDefault="00205ABC" w:rsidP="00A27D16">
      <w:pPr>
        <w:pStyle w:val="JDtext"/>
      </w:pPr>
      <w:r>
        <w:t xml:space="preserve">X0 – </w:t>
      </w:r>
      <w:r w:rsidR="00A27D16">
        <w:t>bez nebezpeční koroze</w:t>
      </w:r>
    </w:p>
    <w:p w:rsidR="00205ABC" w:rsidRDefault="00A27D16" w:rsidP="00A27D16">
      <w:pPr>
        <w:pStyle w:val="JDtext"/>
      </w:pPr>
      <w:r>
        <w:t xml:space="preserve">XC – koroze vlivem </w:t>
      </w:r>
      <w:proofErr w:type="spellStart"/>
      <w:r>
        <w:t>karbonatace</w:t>
      </w:r>
      <w:proofErr w:type="spellEnd"/>
      <w:r w:rsidR="00205ABC">
        <w:t xml:space="preserve"> </w:t>
      </w:r>
    </w:p>
    <w:p w:rsidR="00205ABC" w:rsidRPr="00675CDF" w:rsidRDefault="00675CDF" w:rsidP="00675CDF">
      <w:pPr>
        <w:pStyle w:val="JDtext"/>
        <w:rPr>
          <w:sz w:val="18"/>
          <w:szCs w:val="18"/>
        </w:rPr>
      </w:pPr>
      <w:r>
        <w:t xml:space="preserve">   </w:t>
      </w:r>
      <w:r w:rsidR="00205ABC" w:rsidRPr="00675CDF">
        <w:rPr>
          <w:sz w:val="18"/>
          <w:szCs w:val="18"/>
        </w:rPr>
        <w:t xml:space="preserve">XC1 – </w:t>
      </w:r>
      <w:r w:rsidR="00FD742B">
        <w:rPr>
          <w:sz w:val="18"/>
          <w:szCs w:val="18"/>
        </w:rPr>
        <w:t xml:space="preserve">v </w:t>
      </w:r>
      <w:r w:rsidR="00205ABC" w:rsidRPr="00675CDF">
        <w:rPr>
          <w:sz w:val="18"/>
          <w:szCs w:val="18"/>
        </w:rPr>
        <w:t>suché</w:t>
      </w:r>
      <w:r w:rsidR="00FD742B">
        <w:rPr>
          <w:sz w:val="18"/>
          <w:szCs w:val="18"/>
        </w:rPr>
        <w:t>m</w:t>
      </w:r>
      <w:r w:rsidR="00A27D16" w:rsidRPr="00675CDF">
        <w:rPr>
          <w:sz w:val="18"/>
          <w:szCs w:val="18"/>
        </w:rPr>
        <w:t xml:space="preserve"> prostředí</w:t>
      </w:r>
    </w:p>
    <w:p w:rsidR="00FD742B" w:rsidRDefault="00FD742B" w:rsidP="00512CA0">
      <w:pPr>
        <w:pStyle w:val="JDtext"/>
      </w:pPr>
    </w:p>
    <w:p w:rsidR="00983798" w:rsidRDefault="00512CA0" w:rsidP="00512CA0">
      <w:pPr>
        <w:pStyle w:val="JDtext"/>
        <w:rPr>
          <w:color w:val="000000"/>
        </w:rPr>
      </w:pPr>
      <w:r>
        <w:t xml:space="preserve">Všechny železobetonové konstrukce budou s betonářskou výztuží kvality </w:t>
      </w:r>
      <w:r w:rsidRPr="002D59BD">
        <w:rPr>
          <w:b/>
        </w:rPr>
        <w:t>10 505 (R</w:t>
      </w:r>
      <w:r>
        <w:rPr>
          <w:b/>
        </w:rPr>
        <w:t>)</w:t>
      </w:r>
      <w:r>
        <w:t>, popř.</w:t>
      </w:r>
      <w:r w:rsidR="000D4D0D">
        <w:t> </w:t>
      </w:r>
      <w:r>
        <w:t>B500B</w:t>
      </w:r>
      <w:r w:rsidR="004C5BBD">
        <w:t xml:space="preserve"> (platí pro vázanou prutovou výztuž). </w:t>
      </w:r>
      <w:r>
        <w:t>Tato ocel má mez kluzu f</w:t>
      </w:r>
      <w:r w:rsidRPr="00512CA0">
        <w:rPr>
          <w:vertAlign w:val="subscript"/>
        </w:rPr>
        <w:t>y</w:t>
      </w:r>
      <w:r>
        <w:t xml:space="preserve"> = 500 </w:t>
      </w:r>
      <w:proofErr w:type="spellStart"/>
      <w:r>
        <w:t>MPa</w:t>
      </w:r>
      <w:proofErr w:type="spellEnd"/>
      <w:r>
        <w:t xml:space="preserve"> a modul pružnosti E = 210 </w:t>
      </w:r>
      <w:proofErr w:type="spellStart"/>
      <w:r>
        <w:t>GPa</w:t>
      </w:r>
      <w:proofErr w:type="spellEnd"/>
      <w:r>
        <w:t>.</w:t>
      </w:r>
      <w:r w:rsidR="00983798">
        <w:t xml:space="preserve"> </w:t>
      </w:r>
      <w:r w:rsidR="00983798">
        <w:rPr>
          <w:color w:val="000000"/>
        </w:rPr>
        <w:t>Krytí výztuže bude 25 mm.</w:t>
      </w:r>
    </w:p>
    <w:p w:rsidR="00576F77" w:rsidRDefault="0015044F" w:rsidP="00576F77">
      <w:pPr>
        <w:pStyle w:val="JDpodnadpis"/>
        <w:numPr>
          <w:ilvl w:val="3"/>
          <w:numId w:val="2"/>
        </w:numPr>
        <w:ind w:left="510" w:hanging="510"/>
      </w:pPr>
      <w:bookmarkStart w:id="13" w:name="_Toc532253851"/>
      <w:r>
        <w:t>Ocelové konstrukce</w:t>
      </w:r>
      <w:bookmarkEnd w:id="13"/>
    </w:p>
    <w:p w:rsidR="00DB454D" w:rsidRDefault="00991493" w:rsidP="0051136B">
      <w:pPr>
        <w:pStyle w:val="JDtext"/>
        <w:rPr>
          <w:color w:val="000000"/>
        </w:rPr>
      </w:pPr>
      <w:r>
        <w:t xml:space="preserve">Ocelové konstrukce odpovídají třídě provedení EXC2. V konstrukci je použito konstrukční oceli </w:t>
      </w:r>
      <w:r w:rsidRPr="00991493">
        <w:rPr>
          <w:b/>
        </w:rPr>
        <w:t>S235 J</w:t>
      </w:r>
      <w:r w:rsidR="00947C8F">
        <w:rPr>
          <w:b/>
        </w:rPr>
        <w:t>R</w:t>
      </w:r>
      <w:r>
        <w:t xml:space="preserve">. </w:t>
      </w:r>
      <w:r w:rsidR="00DB454D" w:rsidRPr="0051136B">
        <w:t>Mechanické</w:t>
      </w:r>
      <w:r w:rsidR="00DB454D">
        <w:t xml:space="preserve"> vlastnosti této oceli jsou:</w:t>
      </w:r>
    </w:p>
    <w:p w:rsidR="00DB454D" w:rsidRDefault="00DB454D" w:rsidP="00CC24D2">
      <w:pPr>
        <w:pStyle w:val="JDtext"/>
        <w:numPr>
          <w:ilvl w:val="0"/>
          <w:numId w:val="11"/>
        </w:numPr>
        <w:tabs>
          <w:tab w:val="left" w:pos="2410"/>
        </w:tabs>
        <w:spacing w:before="60" w:after="60"/>
      </w:pPr>
      <w:r>
        <w:t xml:space="preserve">mez kluzu: </w:t>
      </w:r>
      <w:r>
        <w:tab/>
        <w:t>f</w:t>
      </w:r>
      <w:r w:rsidRPr="00D6310D">
        <w:rPr>
          <w:vertAlign w:val="subscript"/>
        </w:rPr>
        <w:t>y</w:t>
      </w:r>
      <w:r>
        <w:t xml:space="preserve"> = 235 </w:t>
      </w:r>
      <w:proofErr w:type="spellStart"/>
      <w:r>
        <w:t>MPa</w:t>
      </w:r>
      <w:proofErr w:type="spellEnd"/>
    </w:p>
    <w:p w:rsidR="00DB454D" w:rsidRDefault="00DB454D" w:rsidP="00CC24D2">
      <w:pPr>
        <w:pStyle w:val="JDtext"/>
        <w:numPr>
          <w:ilvl w:val="0"/>
          <w:numId w:val="11"/>
        </w:numPr>
        <w:tabs>
          <w:tab w:val="left" w:pos="2410"/>
        </w:tabs>
        <w:spacing w:before="60" w:after="60"/>
      </w:pPr>
      <w:r>
        <w:t xml:space="preserve">mez pevnosti: </w:t>
      </w:r>
      <w:r>
        <w:tab/>
      </w:r>
      <w:proofErr w:type="spellStart"/>
      <w:r>
        <w:t>f</w:t>
      </w:r>
      <w:r w:rsidRPr="00D6310D">
        <w:rPr>
          <w:vertAlign w:val="subscript"/>
        </w:rPr>
        <w:t>u</w:t>
      </w:r>
      <w:proofErr w:type="spellEnd"/>
      <w:r>
        <w:t xml:space="preserve"> = 360 </w:t>
      </w:r>
      <w:proofErr w:type="spellStart"/>
      <w:r>
        <w:t>MPa</w:t>
      </w:r>
      <w:proofErr w:type="spellEnd"/>
    </w:p>
    <w:p w:rsidR="0051136B" w:rsidRDefault="00DB454D" w:rsidP="00CC24D2">
      <w:pPr>
        <w:pStyle w:val="JDtext"/>
        <w:numPr>
          <w:ilvl w:val="0"/>
          <w:numId w:val="11"/>
        </w:numPr>
        <w:tabs>
          <w:tab w:val="left" w:pos="2410"/>
        </w:tabs>
        <w:spacing w:before="60" w:after="240"/>
      </w:pPr>
      <w:r>
        <w:t>modul pružnosti:</w:t>
      </w:r>
      <w:r w:rsidR="0051136B">
        <w:t xml:space="preserve"> </w:t>
      </w:r>
      <w:r w:rsidR="00CC24D2">
        <w:tab/>
      </w:r>
      <w:r>
        <w:t xml:space="preserve">E = 210 </w:t>
      </w:r>
      <w:proofErr w:type="spellStart"/>
      <w:r>
        <w:t>GPa</w:t>
      </w:r>
      <w:proofErr w:type="spellEnd"/>
    </w:p>
    <w:p w:rsidR="003F54BF" w:rsidRDefault="003F54BF" w:rsidP="003F54BF">
      <w:pPr>
        <w:pStyle w:val="JDtext"/>
      </w:pPr>
      <w:r>
        <w:lastRenderedPageBreak/>
        <w:t>Všechny ocelové prvky budou provedeny s protikorozní ochranou</w:t>
      </w:r>
      <w:r w:rsidR="00FD742B">
        <w:t xml:space="preserve"> – p</w:t>
      </w:r>
      <w:r w:rsidRPr="00EE4429">
        <w:t xml:space="preserve">ovrch </w:t>
      </w:r>
      <w:r w:rsidR="002578D3">
        <w:t xml:space="preserve">nosných </w:t>
      </w:r>
      <w:r w:rsidRPr="00EE4429">
        <w:t>ocelových konstrukcí bude opatřen nátěr</w:t>
      </w:r>
      <w:r w:rsidR="00FD742B">
        <w:t>ovým systémem</w:t>
      </w:r>
      <w:r w:rsidRPr="00EE4429">
        <w:t>.</w:t>
      </w:r>
      <w:r>
        <w:t xml:space="preserve"> Ocelové spojovací prostředky</w:t>
      </w:r>
      <w:r w:rsidR="002578D3">
        <w:t xml:space="preserve"> (šrouby)</w:t>
      </w:r>
      <w:r>
        <w:t xml:space="preserve"> budou </w:t>
      </w:r>
      <w:r w:rsidR="002578D3">
        <w:t xml:space="preserve">kvality min. 8.8 a </w:t>
      </w:r>
      <w:r>
        <w:t xml:space="preserve">pozinkovány. </w:t>
      </w:r>
      <w:r w:rsidR="00FD742B">
        <w:t xml:space="preserve">Trapézový plech bude z oceli </w:t>
      </w:r>
      <w:r w:rsidR="00FD742B" w:rsidRPr="00FD742B">
        <w:rPr>
          <w:b/>
        </w:rPr>
        <w:t>S320</w:t>
      </w:r>
      <w:r w:rsidR="00FD742B">
        <w:t>, taktéž s protikorozní úpravou.</w:t>
      </w:r>
    </w:p>
    <w:p w:rsidR="003F54BF" w:rsidRDefault="003F54BF" w:rsidP="003F54BF">
      <w:pPr>
        <w:pStyle w:val="JDtext"/>
        <w:rPr>
          <w:u w:val="single"/>
        </w:rPr>
      </w:pPr>
      <w:r>
        <w:t>Řešení požární ochrany ocelových konstrukcí není předmětem této části projektu.</w:t>
      </w:r>
    </w:p>
    <w:p w:rsidR="0015044F" w:rsidRDefault="0015044F" w:rsidP="0002761F">
      <w:pPr>
        <w:pStyle w:val="JDpodnadpis"/>
        <w:numPr>
          <w:ilvl w:val="3"/>
          <w:numId w:val="2"/>
        </w:numPr>
        <w:ind w:left="510" w:hanging="510"/>
      </w:pPr>
      <w:bookmarkStart w:id="14" w:name="_Toc532253852"/>
      <w:r>
        <w:t>Zděné konstrukce</w:t>
      </w:r>
      <w:bookmarkEnd w:id="14"/>
    </w:p>
    <w:p w:rsidR="002F2245" w:rsidRDefault="00226777" w:rsidP="003F54BF">
      <w:pPr>
        <w:pStyle w:val="JDtext"/>
      </w:pPr>
      <w:r>
        <w:t>Obvodové stěny ve 2.NP budou vyzděny z pórobetonových tvárnic</w:t>
      </w:r>
      <w:r w:rsidR="002578D3">
        <w:t xml:space="preserve"> na tenkovrstvou zdící maltu doporučenou výrobcem. Zdivo </w:t>
      </w:r>
      <w:proofErr w:type="spellStart"/>
      <w:r w:rsidR="002578D3">
        <w:t>tl</w:t>
      </w:r>
      <w:proofErr w:type="spellEnd"/>
      <w:r w:rsidR="002578D3">
        <w:t xml:space="preserve">. 250 mm bude ze zdících prvků </w:t>
      </w:r>
      <w:r w:rsidRPr="0028521A">
        <w:rPr>
          <w:b/>
        </w:rPr>
        <w:t>P4-550</w:t>
      </w:r>
      <w:r>
        <w:t xml:space="preserve"> </w:t>
      </w:r>
      <w:r w:rsidR="002578D3">
        <w:t>(</w:t>
      </w:r>
      <w:proofErr w:type="spellStart"/>
      <w:r w:rsidR="002578D3">
        <w:t>char</w:t>
      </w:r>
      <w:proofErr w:type="spellEnd"/>
      <w:r w:rsidR="002578D3">
        <w:t xml:space="preserve">. pevnost zdiva v tlaku 3,14 </w:t>
      </w:r>
      <w:proofErr w:type="spellStart"/>
      <w:r w:rsidR="002578D3">
        <w:t>MPa</w:t>
      </w:r>
      <w:proofErr w:type="spellEnd"/>
      <w:r w:rsidR="002578D3">
        <w:t xml:space="preserve">) a zdivo </w:t>
      </w:r>
      <w:proofErr w:type="spellStart"/>
      <w:r w:rsidR="002578D3">
        <w:t>tl</w:t>
      </w:r>
      <w:proofErr w:type="spellEnd"/>
      <w:r w:rsidR="002578D3">
        <w:t xml:space="preserve">. 375 mm bude z tvárnic P3-450 (charakteristická pevnost zdiva v tlaku 2,32 </w:t>
      </w:r>
      <w:proofErr w:type="spellStart"/>
      <w:r w:rsidR="002578D3">
        <w:t>MPa</w:t>
      </w:r>
      <w:proofErr w:type="spellEnd"/>
      <w:r w:rsidR="002578D3">
        <w:t>).</w:t>
      </w:r>
      <w:r w:rsidR="0028521A">
        <w:t xml:space="preserve"> </w:t>
      </w:r>
      <w:r>
        <w:t>Při provádění budou dodrženy veškeré pokyny a doporučení výrobce. Vždy je bezpodmínečně nutné dodržet správnou vazbu zdiva!</w:t>
      </w:r>
    </w:p>
    <w:p w:rsidR="003879BA" w:rsidRDefault="003879BA" w:rsidP="0002761F">
      <w:pPr>
        <w:pStyle w:val="JDnadpis"/>
        <w:numPr>
          <w:ilvl w:val="0"/>
          <w:numId w:val="8"/>
        </w:numPr>
      </w:pPr>
      <w:bookmarkStart w:id="15" w:name="_Toc532253853"/>
      <w:r>
        <w:t>použité podklady a normy</w:t>
      </w:r>
      <w:bookmarkEnd w:id="15"/>
    </w:p>
    <w:p w:rsidR="00DC2C1F" w:rsidRDefault="001B62B7" w:rsidP="00A46C60">
      <w:pPr>
        <w:pStyle w:val="JDtext"/>
      </w:pPr>
      <w:r w:rsidRPr="001B62B7">
        <w:rPr>
          <w:u w:val="single"/>
        </w:rPr>
        <w:t>P</w:t>
      </w:r>
      <w:r w:rsidR="00DC2C1F" w:rsidRPr="001B62B7">
        <w:rPr>
          <w:u w:val="single"/>
        </w:rPr>
        <w:t>ři zpracování této části projektové dokumentace byly použity tyto podklady</w:t>
      </w:r>
      <w:r w:rsidR="00DC2C1F">
        <w:t>:</w:t>
      </w:r>
    </w:p>
    <w:p w:rsidR="00335346" w:rsidRDefault="00A46C60" w:rsidP="00CC24D2">
      <w:pPr>
        <w:pStyle w:val="JDtext"/>
        <w:spacing w:after="60"/>
        <w:ind w:left="170"/>
      </w:pPr>
      <w:r>
        <w:t>Rozpracovaný projekt stavební části (architektonické a stavebně technické řešení)</w:t>
      </w:r>
      <w:r w:rsidR="002F2245">
        <w:t>:</w:t>
      </w:r>
    </w:p>
    <w:p w:rsidR="00A46C60" w:rsidRDefault="002F2245" w:rsidP="00CC24D2">
      <w:pPr>
        <w:pStyle w:val="JDtext"/>
        <w:spacing w:before="60"/>
        <w:ind w:left="340"/>
      </w:pPr>
      <w:r>
        <w:t xml:space="preserve"> hlavní </w:t>
      </w:r>
      <w:r w:rsidR="002C3B03">
        <w:t>p</w:t>
      </w:r>
      <w:r w:rsidR="00335346">
        <w:t xml:space="preserve">rojektant: </w:t>
      </w:r>
      <w:r>
        <w:t>FS Vision s.r.o. – Ing. Jindřich Kejík</w:t>
      </w:r>
    </w:p>
    <w:p w:rsidR="002F2245" w:rsidRPr="002F2245" w:rsidRDefault="002F2245" w:rsidP="002F2245">
      <w:pPr>
        <w:pStyle w:val="JDtext"/>
        <w:ind w:left="170"/>
      </w:pPr>
      <w:r>
        <w:t xml:space="preserve">Část původní dokumentace: </w:t>
      </w:r>
      <w:proofErr w:type="spellStart"/>
      <w:r>
        <w:t>Stavoprojekt</w:t>
      </w:r>
      <w:proofErr w:type="spellEnd"/>
      <w:r>
        <w:t xml:space="preserve"> Liberec</w:t>
      </w:r>
      <w:r>
        <w:rPr>
          <w:lang w:val="en-US"/>
        </w:rPr>
        <w:t>;</w:t>
      </w:r>
      <w:r>
        <w:t xml:space="preserve"> prosinec 1976</w:t>
      </w:r>
    </w:p>
    <w:p w:rsidR="00DC2C1F" w:rsidRDefault="001B62B7" w:rsidP="00A46C60">
      <w:pPr>
        <w:pStyle w:val="JDtext"/>
        <w:spacing w:before="240"/>
      </w:pPr>
      <w:r>
        <w:rPr>
          <w:u w:val="single"/>
        </w:rPr>
        <w:t>P</w:t>
      </w:r>
      <w:r w:rsidR="00DC2C1F" w:rsidRPr="001B62B7">
        <w:rPr>
          <w:u w:val="single"/>
        </w:rPr>
        <w:t>ři návrhu nosných konstrukcí bylo postupováno v souladu s těmito normami</w:t>
      </w:r>
      <w:r w:rsidR="00DC2C1F">
        <w:t>:</w:t>
      </w:r>
    </w:p>
    <w:p w:rsidR="00D9124C" w:rsidRPr="00D9124C" w:rsidRDefault="00983798" w:rsidP="000A1CF1">
      <w:pPr>
        <w:pStyle w:val="JDtext"/>
        <w:ind w:left="340"/>
      </w:pPr>
      <w:r>
        <w:rPr>
          <w:b/>
        </w:rPr>
        <w:t>Č</w:t>
      </w:r>
      <w:r w:rsidR="00D9124C" w:rsidRPr="003F54BF">
        <w:rPr>
          <w:b/>
        </w:rPr>
        <w:t>SN EN 1990:</w:t>
      </w:r>
      <w:r w:rsidR="00D9124C" w:rsidRPr="00D9124C">
        <w:t xml:space="preserve"> Zásady navrhování konstrukcí</w:t>
      </w:r>
    </w:p>
    <w:p w:rsidR="006B6A71" w:rsidRPr="00D9124C" w:rsidRDefault="003F54BF" w:rsidP="003F54BF">
      <w:pPr>
        <w:pStyle w:val="JDtext"/>
        <w:ind w:firstLine="340"/>
      </w:pPr>
      <w:r w:rsidRPr="003F54BF">
        <w:rPr>
          <w:b/>
        </w:rPr>
        <w:t>ČSN EN 1991:</w:t>
      </w:r>
      <w:r>
        <w:t xml:space="preserve"> </w:t>
      </w:r>
      <w:r w:rsidR="006B6A71" w:rsidRPr="00D9124C">
        <w:t>Zatížení konstrukcí</w:t>
      </w:r>
    </w:p>
    <w:p w:rsidR="003F54BF" w:rsidRDefault="003F54BF" w:rsidP="000A1CF1">
      <w:pPr>
        <w:pStyle w:val="JDtext"/>
        <w:ind w:left="340"/>
      </w:pPr>
      <w:r w:rsidRPr="003F54BF">
        <w:rPr>
          <w:b/>
        </w:rPr>
        <w:t>ČSN EN 1992:</w:t>
      </w:r>
      <w:r>
        <w:t xml:space="preserve"> </w:t>
      </w:r>
      <w:r w:rsidRPr="00D9124C">
        <w:t>Navrhování betonových konstrukcí</w:t>
      </w:r>
    </w:p>
    <w:p w:rsidR="003F54BF" w:rsidRDefault="003F54BF" w:rsidP="000A1CF1">
      <w:pPr>
        <w:pStyle w:val="JDtext"/>
        <w:ind w:left="340"/>
      </w:pPr>
      <w:r w:rsidRPr="003F54BF">
        <w:rPr>
          <w:b/>
        </w:rPr>
        <w:t>ČSN EN 1993:</w:t>
      </w:r>
      <w:r>
        <w:t xml:space="preserve"> </w:t>
      </w:r>
      <w:r w:rsidRPr="00D9124C">
        <w:t>Navrhování ocelových konstrukcí</w:t>
      </w:r>
    </w:p>
    <w:p w:rsidR="003F54BF" w:rsidRDefault="003F54BF" w:rsidP="000A1CF1">
      <w:pPr>
        <w:pStyle w:val="JDtext"/>
        <w:ind w:left="340"/>
      </w:pPr>
      <w:r w:rsidRPr="003F54BF">
        <w:rPr>
          <w:b/>
        </w:rPr>
        <w:t>ČSN EN 1996:</w:t>
      </w:r>
      <w:r>
        <w:t xml:space="preserve"> </w:t>
      </w:r>
      <w:r w:rsidRPr="00D9124C">
        <w:t>Navrhování zděných konstrukcí</w:t>
      </w:r>
    </w:p>
    <w:p w:rsidR="003879BA" w:rsidRDefault="003879BA" w:rsidP="0002761F">
      <w:pPr>
        <w:pStyle w:val="JDnadpis"/>
        <w:numPr>
          <w:ilvl w:val="0"/>
          <w:numId w:val="8"/>
        </w:numPr>
      </w:pPr>
      <w:bookmarkStart w:id="16" w:name="_Toc532253854"/>
      <w:r>
        <w:t>další podmínky a požadavky</w:t>
      </w:r>
      <w:bookmarkEnd w:id="16"/>
    </w:p>
    <w:p w:rsidR="0075003A" w:rsidRDefault="001B62B7" w:rsidP="001B62B7">
      <w:pPr>
        <w:pStyle w:val="JDtext"/>
      </w:pPr>
      <w:r>
        <w:t>Před zahájení</w:t>
      </w:r>
      <w:r w:rsidR="003F54BF">
        <w:t>m</w:t>
      </w:r>
      <w:r>
        <w:t xml:space="preserve"> stavebních prací zajistí dodavatel stavby koordinaci všech stavebních profesí. V případě rozporů mezi jednotlivými částmi projektové dokumentace je nutné kontaktovat projektanta! Stejně tak v </w:t>
      </w:r>
      <w:proofErr w:type="gramStart"/>
      <w:r>
        <w:t>případě</w:t>
      </w:r>
      <w:proofErr w:type="gramEnd"/>
      <w:r>
        <w:t xml:space="preserve"> pokud se skutečný stav</w:t>
      </w:r>
      <w:r w:rsidR="00AC4C7A">
        <w:t xml:space="preserve"> </w:t>
      </w:r>
      <w:r>
        <w:t>liší od předpokládaného</w:t>
      </w:r>
      <w:r w:rsidR="00AC4C7A">
        <w:t xml:space="preserve"> (např. jiné základové poměry</w:t>
      </w:r>
      <w:r w:rsidR="00AC4C7A">
        <w:rPr>
          <w:lang w:val="en-US"/>
        </w:rPr>
        <w:t xml:space="preserve">; </w:t>
      </w:r>
      <w:r w:rsidR="00AC4C7A">
        <w:t>jiné rozměry nebo materiál stávajících konstrukcí)</w:t>
      </w:r>
      <w:r>
        <w:t>.</w:t>
      </w:r>
      <w:r w:rsidR="0075003A">
        <w:t xml:space="preserve"> </w:t>
      </w:r>
    </w:p>
    <w:p w:rsidR="003F54BF" w:rsidRDefault="00E938A2" w:rsidP="003F54BF">
      <w:pPr>
        <w:pStyle w:val="JDtext"/>
      </w:pPr>
      <w:r w:rsidRPr="004F3CD9">
        <w:rPr>
          <w:rFonts w:eastAsia="Calibri"/>
          <w:color w:val="000000"/>
        </w:rPr>
        <w:t>Investor</w:t>
      </w:r>
      <w:r w:rsidR="002578D3">
        <w:rPr>
          <w:rFonts w:eastAsia="Calibri"/>
          <w:color w:val="000000"/>
        </w:rPr>
        <w:t>, popř. vybraný dodavatel stavby,</w:t>
      </w:r>
      <w:r w:rsidRPr="004F3CD9">
        <w:rPr>
          <w:rFonts w:eastAsia="Calibri"/>
          <w:color w:val="000000"/>
        </w:rPr>
        <w:t xml:space="preserve"> zajistí </w:t>
      </w:r>
      <w:r w:rsidR="002578D3">
        <w:rPr>
          <w:rFonts w:eastAsia="Calibri"/>
          <w:color w:val="000000"/>
        </w:rPr>
        <w:t xml:space="preserve">v dostatečném předstihu zpracování výrobní dokumentace ocelových konstrukcí </w:t>
      </w:r>
      <w:r>
        <w:t>a dílensk</w:t>
      </w:r>
      <w:r w:rsidR="002578D3">
        <w:t>é</w:t>
      </w:r>
      <w:r>
        <w:t xml:space="preserve"> dokumentace výztuže železobetonových konstrukcí.</w:t>
      </w:r>
    </w:p>
    <w:p w:rsidR="003F54BF" w:rsidRDefault="003F54BF" w:rsidP="00401D8A">
      <w:pPr>
        <w:pStyle w:val="JDtext"/>
      </w:pPr>
    </w:p>
    <w:p w:rsidR="00BD40D1" w:rsidRDefault="00BD40D1" w:rsidP="00401D8A">
      <w:pPr>
        <w:pStyle w:val="JDtext"/>
      </w:pPr>
    </w:p>
    <w:p w:rsidR="001A5950" w:rsidRDefault="001A5950" w:rsidP="00BD40D1">
      <w:pPr>
        <w:pStyle w:val="JDtext"/>
      </w:pPr>
    </w:p>
    <w:p w:rsidR="000F4792" w:rsidRDefault="00BD40D1" w:rsidP="00BD40D1">
      <w:pPr>
        <w:pStyle w:val="JDtext"/>
      </w:pPr>
      <w:r>
        <w:t xml:space="preserve">V Liberci, </w:t>
      </w:r>
      <w:r w:rsidR="002578D3">
        <w:t>12</w:t>
      </w:r>
      <w:r w:rsidR="009316F2">
        <w:t xml:space="preserve"> / </w:t>
      </w:r>
      <w:r>
        <w:t>201</w:t>
      </w:r>
      <w:r w:rsidR="00C60E86">
        <w:t>8</w:t>
      </w:r>
      <w:r>
        <w:tab/>
      </w:r>
      <w:r>
        <w:tab/>
      </w:r>
      <w:r w:rsidR="00C60E86">
        <w:tab/>
      </w:r>
      <w:r w:rsidR="009C04DE">
        <w:tab/>
      </w:r>
      <w:r w:rsidR="009C04DE">
        <w:tab/>
      </w:r>
      <w:r w:rsidR="009C04DE">
        <w:tab/>
      </w:r>
      <w:r>
        <w:t xml:space="preserve">Ing. Jan </w:t>
      </w:r>
      <w:proofErr w:type="spellStart"/>
      <w:r>
        <w:t>Drechsler</w:t>
      </w:r>
      <w:proofErr w:type="spellEnd"/>
    </w:p>
    <w:p w:rsidR="00C60E86" w:rsidRPr="00C60E86" w:rsidRDefault="00C60E86" w:rsidP="00C60E86">
      <w:pPr>
        <w:pStyle w:val="JDtext"/>
        <w:spacing w:before="60" w:after="60"/>
        <w:rPr>
          <w:i/>
          <w:color w:val="auto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7" w:history="1">
        <w:r w:rsidRPr="00C60E86">
          <w:rPr>
            <w:rStyle w:val="Hypertextovodkaz"/>
            <w:i/>
            <w:color w:val="auto"/>
            <w:sz w:val="20"/>
            <w:szCs w:val="20"/>
            <w:u w:val="none"/>
          </w:rPr>
          <w:t>drechsler@dreval.cz</w:t>
        </w:r>
      </w:hyperlink>
    </w:p>
    <w:p w:rsidR="00C60E86" w:rsidRPr="00C60E86" w:rsidRDefault="00C60E86" w:rsidP="00C60E86">
      <w:pPr>
        <w:pStyle w:val="JDtext"/>
        <w:spacing w:before="60" w:after="60"/>
        <w:rPr>
          <w:i/>
          <w:color w:val="auto"/>
          <w:sz w:val="20"/>
          <w:szCs w:val="20"/>
        </w:rPr>
      </w:pPr>
      <w:r w:rsidRPr="00C60E86">
        <w:rPr>
          <w:i/>
          <w:color w:val="auto"/>
          <w:sz w:val="20"/>
          <w:szCs w:val="20"/>
        </w:rPr>
        <w:tab/>
      </w:r>
      <w:r w:rsidRPr="00C60E86">
        <w:rPr>
          <w:i/>
          <w:color w:val="auto"/>
          <w:sz w:val="20"/>
          <w:szCs w:val="20"/>
        </w:rPr>
        <w:tab/>
      </w:r>
      <w:r w:rsidRPr="00C60E86">
        <w:rPr>
          <w:i/>
          <w:color w:val="auto"/>
          <w:sz w:val="20"/>
          <w:szCs w:val="20"/>
        </w:rPr>
        <w:tab/>
      </w:r>
      <w:r w:rsidRPr="00C60E86">
        <w:rPr>
          <w:i/>
          <w:color w:val="auto"/>
          <w:sz w:val="20"/>
          <w:szCs w:val="20"/>
        </w:rPr>
        <w:tab/>
      </w:r>
      <w:r w:rsidRPr="00C60E86">
        <w:rPr>
          <w:i/>
          <w:color w:val="auto"/>
          <w:sz w:val="20"/>
          <w:szCs w:val="20"/>
        </w:rPr>
        <w:tab/>
      </w:r>
      <w:r w:rsidRPr="00C60E86">
        <w:rPr>
          <w:i/>
          <w:color w:val="auto"/>
          <w:sz w:val="20"/>
          <w:szCs w:val="20"/>
        </w:rPr>
        <w:tab/>
      </w:r>
      <w:r w:rsidRPr="00C60E86">
        <w:rPr>
          <w:i/>
          <w:color w:val="auto"/>
          <w:sz w:val="20"/>
          <w:szCs w:val="20"/>
        </w:rPr>
        <w:tab/>
      </w:r>
      <w:r w:rsidRPr="00C60E86">
        <w:rPr>
          <w:i/>
          <w:color w:val="auto"/>
          <w:sz w:val="20"/>
          <w:szCs w:val="20"/>
        </w:rPr>
        <w:tab/>
        <w:t xml:space="preserve">   +420 728 162 699</w:t>
      </w:r>
    </w:p>
    <w:sectPr w:rsidR="00C60E86" w:rsidRPr="00C60E86" w:rsidSect="00A0056A">
      <w:headerReference w:type="default" r:id="rId8"/>
      <w:footerReference w:type="default" r:id="rId9"/>
      <w:pgSz w:w="11906" w:h="16838" w:code="9"/>
      <w:pgMar w:top="1418" w:right="1418" w:bottom="1247" w:left="1418" w:header="73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7A4" w:rsidRDefault="009517A4" w:rsidP="00951FE8">
      <w:pPr>
        <w:spacing w:after="0" w:line="240" w:lineRule="auto"/>
      </w:pPr>
      <w:r>
        <w:separator/>
      </w:r>
    </w:p>
  </w:endnote>
  <w:endnote w:type="continuationSeparator" w:id="0">
    <w:p w:rsidR="009517A4" w:rsidRDefault="009517A4" w:rsidP="00951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FB4" w:rsidRPr="00CC5BAF" w:rsidRDefault="00CD5FEB" w:rsidP="00AC498D">
    <w:pPr>
      <w:pStyle w:val="Zpat"/>
      <w:pBdr>
        <w:top w:val="single" w:sz="4" w:space="9" w:color="auto"/>
      </w:pBdr>
      <w:rPr>
        <w:rFonts w:ascii="Arial" w:hAnsi="Arial" w:cs="Arial"/>
      </w:rPr>
    </w:pPr>
    <w:r>
      <w:rPr>
        <w:rFonts w:ascii="Arial" w:hAnsi="Arial" w:cs="Arial"/>
        <w:b/>
      </w:rPr>
      <w:t>D</w:t>
    </w:r>
    <w:r w:rsidR="006D432C">
      <w:rPr>
        <w:rFonts w:ascii="Arial" w:hAnsi="Arial" w:cs="Arial"/>
        <w:b/>
      </w:rPr>
      <w:t>PS</w:t>
    </w:r>
    <w:r w:rsidR="00FF2FB4" w:rsidRPr="00CC5BAF">
      <w:rPr>
        <w:rFonts w:ascii="Arial" w:hAnsi="Arial" w:cs="Arial"/>
      </w:rPr>
      <w:t>, stavebně konstrukční řešení</w:t>
    </w:r>
    <w:r w:rsidR="00FF2FB4" w:rsidRPr="00CC5BAF">
      <w:rPr>
        <w:rFonts w:ascii="Arial" w:hAnsi="Arial" w:cs="Arial"/>
      </w:rPr>
      <w:tab/>
    </w:r>
    <w:r w:rsidR="00FF2FB4" w:rsidRPr="00CC5BAF">
      <w:rPr>
        <w:rFonts w:ascii="Arial" w:hAnsi="Arial" w:cs="Arial"/>
      </w:rPr>
      <w:tab/>
    </w:r>
    <w:r w:rsidR="001604ED" w:rsidRPr="000651AD">
      <w:rPr>
        <w:rFonts w:ascii="Arial" w:hAnsi="Arial" w:cs="Arial"/>
        <w:b/>
      </w:rPr>
      <w:fldChar w:fldCharType="begin"/>
    </w:r>
    <w:r w:rsidR="00FF2FB4" w:rsidRPr="000651AD">
      <w:rPr>
        <w:rFonts w:ascii="Arial" w:hAnsi="Arial" w:cs="Arial"/>
        <w:b/>
      </w:rPr>
      <w:instrText xml:space="preserve"> PAGE   \* MERGEFORMAT </w:instrText>
    </w:r>
    <w:r w:rsidR="001604ED" w:rsidRPr="000651AD">
      <w:rPr>
        <w:rFonts w:ascii="Arial" w:hAnsi="Arial" w:cs="Arial"/>
        <w:b/>
      </w:rPr>
      <w:fldChar w:fldCharType="separate"/>
    </w:r>
    <w:r w:rsidR="000D2A3F">
      <w:rPr>
        <w:rFonts w:ascii="Arial" w:hAnsi="Arial" w:cs="Arial"/>
        <w:b/>
        <w:noProof/>
      </w:rPr>
      <w:t>1</w:t>
    </w:r>
    <w:r w:rsidR="001604ED" w:rsidRPr="000651AD">
      <w:rPr>
        <w:rFonts w:ascii="Arial" w:hAnsi="Arial" w:cs="Arial"/>
        <w:b/>
      </w:rPr>
      <w:fldChar w:fldCharType="end"/>
    </w:r>
    <w:r w:rsidR="00FF2FB4">
      <w:rPr>
        <w:rFonts w:ascii="Arial" w:hAnsi="Arial" w:cs="Arial"/>
      </w:rPr>
      <w:t xml:space="preserve"> </w:t>
    </w:r>
    <w:r w:rsidR="00FF2FB4" w:rsidRPr="00CC5BAF">
      <w:rPr>
        <w:rFonts w:ascii="Arial" w:hAnsi="Arial" w:cs="Arial"/>
      </w:rPr>
      <w:t>/</w:t>
    </w:r>
    <w:r w:rsidR="000D2A3F">
      <w:rPr>
        <w:rFonts w:ascii="Arial" w:hAnsi="Arial" w:cs="Arial"/>
        <w:noProof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7A4" w:rsidRDefault="009517A4" w:rsidP="00951FE8">
      <w:pPr>
        <w:spacing w:after="0" w:line="240" w:lineRule="auto"/>
      </w:pPr>
      <w:r>
        <w:separator/>
      </w:r>
    </w:p>
  </w:footnote>
  <w:footnote w:type="continuationSeparator" w:id="0">
    <w:p w:rsidR="009517A4" w:rsidRDefault="009517A4" w:rsidP="00951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FB4" w:rsidRPr="000651AD" w:rsidRDefault="00650AE3" w:rsidP="00AC498D">
    <w:pPr>
      <w:pStyle w:val="Zhlav"/>
      <w:pBdr>
        <w:bottom w:val="single" w:sz="4" w:space="9" w:color="auto"/>
      </w:pBdr>
      <w:rPr>
        <w:rFonts w:ascii="Arial" w:hAnsi="Arial" w:cs="Arial"/>
        <w:color w:val="000000" w:themeColor="text1"/>
      </w:rPr>
    </w:pPr>
    <w:r>
      <w:rPr>
        <w:rFonts w:ascii="Arial" w:eastAsiaTheme="majorEastAsia" w:hAnsi="Arial" w:cs="Arial"/>
        <w:b/>
        <w:color w:val="000000" w:themeColor="text1"/>
      </w:rPr>
      <w:t>MŠ MOTÝLEK, LIBEREC</w:t>
    </w:r>
    <w:r w:rsidR="00FF2FB4" w:rsidRPr="000651AD">
      <w:rPr>
        <w:rFonts w:ascii="Arial" w:eastAsiaTheme="majorEastAsia" w:hAnsi="Arial" w:cs="Arial"/>
        <w:color w:val="000000" w:themeColor="text1"/>
      </w:rPr>
      <w:tab/>
      <w:t xml:space="preserve">      </w:t>
    </w:r>
    <w:r w:rsidR="00FF2FB4">
      <w:rPr>
        <w:rFonts w:ascii="Arial" w:eastAsiaTheme="majorEastAsia" w:hAnsi="Arial" w:cs="Arial"/>
        <w:color w:val="000000" w:themeColor="text1"/>
      </w:rPr>
      <w:t xml:space="preserve">              </w:t>
    </w:r>
    <w:r w:rsidR="00FF2FB4">
      <w:rPr>
        <w:rFonts w:ascii="Arial" w:eastAsiaTheme="majorEastAsia" w:hAnsi="Arial" w:cs="Arial"/>
        <w:color w:val="000000" w:themeColor="text1"/>
      </w:rPr>
      <w:tab/>
    </w:r>
    <w:r w:rsidR="00FF2FB4">
      <w:rPr>
        <w:rFonts w:ascii="Arial" w:eastAsiaTheme="majorEastAsia" w:hAnsi="Arial" w:cs="Arial"/>
        <w:caps/>
        <w:color w:val="000000" w:themeColor="text1"/>
      </w:rPr>
      <w:t>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510B"/>
    <w:multiLevelType w:val="multilevel"/>
    <w:tmpl w:val="CA1E7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133886"/>
    <w:multiLevelType w:val="hybridMultilevel"/>
    <w:tmpl w:val="7304F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62BBD"/>
    <w:multiLevelType w:val="hybridMultilevel"/>
    <w:tmpl w:val="1FF674C2"/>
    <w:lvl w:ilvl="0" w:tplc="8DD2529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1201210"/>
    <w:multiLevelType w:val="hybridMultilevel"/>
    <w:tmpl w:val="549410C8"/>
    <w:lvl w:ilvl="0" w:tplc="9EAA4618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13779D6"/>
    <w:multiLevelType w:val="multilevel"/>
    <w:tmpl w:val="DD3C03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82E16E7"/>
    <w:multiLevelType w:val="hybridMultilevel"/>
    <w:tmpl w:val="4AB8CFB2"/>
    <w:lvl w:ilvl="0" w:tplc="A7E45A22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25647"/>
    <w:multiLevelType w:val="hybridMultilevel"/>
    <w:tmpl w:val="3C3A09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16E8E"/>
    <w:multiLevelType w:val="multilevel"/>
    <w:tmpl w:val="98E06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AF25D1D"/>
    <w:multiLevelType w:val="hybridMultilevel"/>
    <w:tmpl w:val="F2429346"/>
    <w:lvl w:ilvl="0" w:tplc="8A28C6C2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825CB"/>
    <w:multiLevelType w:val="hybridMultilevel"/>
    <w:tmpl w:val="0AFA8232"/>
    <w:lvl w:ilvl="0" w:tplc="7674ACAC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04A15"/>
    <w:multiLevelType w:val="hybridMultilevel"/>
    <w:tmpl w:val="79FAEA58"/>
    <w:lvl w:ilvl="0" w:tplc="99607A04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67394490"/>
    <w:multiLevelType w:val="hybridMultilevel"/>
    <w:tmpl w:val="7002718C"/>
    <w:lvl w:ilvl="0" w:tplc="62C8F1F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F6780732">
      <w:start w:val="1"/>
      <w:numFmt w:val="decimal"/>
      <w:lvlText w:val="4.%4."/>
      <w:lvlJc w:val="left"/>
      <w:pPr>
        <w:tabs>
          <w:tab w:val="num" w:pos="340"/>
        </w:tabs>
        <w:ind w:left="851" w:hanging="511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7E182DB2"/>
    <w:multiLevelType w:val="hybridMultilevel"/>
    <w:tmpl w:val="3DD470D6"/>
    <w:lvl w:ilvl="0" w:tplc="3E38387C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5"/>
  </w:num>
  <w:num w:numId="11">
    <w:abstractNumId w:val="12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FE8"/>
    <w:rsid w:val="00005FAE"/>
    <w:rsid w:val="000125FA"/>
    <w:rsid w:val="0002761F"/>
    <w:rsid w:val="000372F1"/>
    <w:rsid w:val="000651AD"/>
    <w:rsid w:val="00067D6F"/>
    <w:rsid w:val="000774C8"/>
    <w:rsid w:val="00092EF3"/>
    <w:rsid w:val="000A1CF1"/>
    <w:rsid w:val="000B41F1"/>
    <w:rsid w:val="000D2A3F"/>
    <w:rsid w:val="000D4D0D"/>
    <w:rsid w:val="000D7F61"/>
    <w:rsid w:val="000E4A11"/>
    <w:rsid w:val="000F4792"/>
    <w:rsid w:val="001158E9"/>
    <w:rsid w:val="00136BED"/>
    <w:rsid w:val="0015044F"/>
    <w:rsid w:val="0015495D"/>
    <w:rsid w:val="001604ED"/>
    <w:rsid w:val="00160991"/>
    <w:rsid w:val="00170656"/>
    <w:rsid w:val="00172813"/>
    <w:rsid w:val="001A5950"/>
    <w:rsid w:val="001B33A2"/>
    <w:rsid w:val="001B62B7"/>
    <w:rsid w:val="00205ABC"/>
    <w:rsid w:val="00221D79"/>
    <w:rsid w:val="00226777"/>
    <w:rsid w:val="00253BEE"/>
    <w:rsid w:val="00254152"/>
    <w:rsid w:val="002578D3"/>
    <w:rsid w:val="00274C12"/>
    <w:rsid w:val="00277375"/>
    <w:rsid w:val="0028521A"/>
    <w:rsid w:val="00286C8C"/>
    <w:rsid w:val="002B6935"/>
    <w:rsid w:val="002C0BA4"/>
    <w:rsid w:val="002C3B03"/>
    <w:rsid w:val="002D05AC"/>
    <w:rsid w:val="002E60A0"/>
    <w:rsid w:val="002F2245"/>
    <w:rsid w:val="00302AFE"/>
    <w:rsid w:val="00310398"/>
    <w:rsid w:val="0031612C"/>
    <w:rsid w:val="0032059A"/>
    <w:rsid w:val="00335346"/>
    <w:rsid w:val="00342A9A"/>
    <w:rsid w:val="00347B70"/>
    <w:rsid w:val="00352DA2"/>
    <w:rsid w:val="00367A95"/>
    <w:rsid w:val="0037640B"/>
    <w:rsid w:val="003879BA"/>
    <w:rsid w:val="003C6B00"/>
    <w:rsid w:val="003E0101"/>
    <w:rsid w:val="003F54BF"/>
    <w:rsid w:val="00401D8A"/>
    <w:rsid w:val="00424117"/>
    <w:rsid w:val="00473F70"/>
    <w:rsid w:val="004829EF"/>
    <w:rsid w:val="004A7347"/>
    <w:rsid w:val="004C5BBD"/>
    <w:rsid w:val="004E092D"/>
    <w:rsid w:val="004F7209"/>
    <w:rsid w:val="00504165"/>
    <w:rsid w:val="0051136B"/>
    <w:rsid w:val="00512CA0"/>
    <w:rsid w:val="005241DA"/>
    <w:rsid w:val="00541895"/>
    <w:rsid w:val="005552F7"/>
    <w:rsid w:val="00576F77"/>
    <w:rsid w:val="00591EFA"/>
    <w:rsid w:val="005D7D99"/>
    <w:rsid w:val="005F34E7"/>
    <w:rsid w:val="005F3BEA"/>
    <w:rsid w:val="005F7ABE"/>
    <w:rsid w:val="00611C35"/>
    <w:rsid w:val="00650AE3"/>
    <w:rsid w:val="00667F8C"/>
    <w:rsid w:val="00675CDF"/>
    <w:rsid w:val="006A1318"/>
    <w:rsid w:val="006B6A71"/>
    <w:rsid w:val="006D04D9"/>
    <w:rsid w:val="006D432C"/>
    <w:rsid w:val="006E3B76"/>
    <w:rsid w:val="006F63F6"/>
    <w:rsid w:val="0072017C"/>
    <w:rsid w:val="00735981"/>
    <w:rsid w:val="0075003A"/>
    <w:rsid w:val="007642A2"/>
    <w:rsid w:val="007669A6"/>
    <w:rsid w:val="007760B2"/>
    <w:rsid w:val="007B3DAC"/>
    <w:rsid w:val="007B4CC2"/>
    <w:rsid w:val="008159AC"/>
    <w:rsid w:val="00866385"/>
    <w:rsid w:val="00882CAC"/>
    <w:rsid w:val="008B5682"/>
    <w:rsid w:val="008D6F25"/>
    <w:rsid w:val="008F3C43"/>
    <w:rsid w:val="009316F2"/>
    <w:rsid w:val="00947C8F"/>
    <w:rsid w:val="009517A4"/>
    <w:rsid w:val="00951FE8"/>
    <w:rsid w:val="009525CF"/>
    <w:rsid w:val="009771AA"/>
    <w:rsid w:val="00983798"/>
    <w:rsid w:val="00991493"/>
    <w:rsid w:val="009B0381"/>
    <w:rsid w:val="009C04DE"/>
    <w:rsid w:val="009C2FAE"/>
    <w:rsid w:val="00A0056A"/>
    <w:rsid w:val="00A1175D"/>
    <w:rsid w:val="00A27D16"/>
    <w:rsid w:val="00A46C60"/>
    <w:rsid w:val="00AC3E73"/>
    <w:rsid w:val="00AC498D"/>
    <w:rsid w:val="00AC4C7A"/>
    <w:rsid w:val="00B35089"/>
    <w:rsid w:val="00B361C9"/>
    <w:rsid w:val="00B45AAC"/>
    <w:rsid w:val="00B5303F"/>
    <w:rsid w:val="00B609A8"/>
    <w:rsid w:val="00B66067"/>
    <w:rsid w:val="00B67ADE"/>
    <w:rsid w:val="00B84088"/>
    <w:rsid w:val="00BA3A54"/>
    <w:rsid w:val="00BD40D1"/>
    <w:rsid w:val="00C016F6"/>
    <w:rsid w:val="00C523A0"/>
    <w:rsid w:val="00C60E86"/>
    <w:rsid w:val="00C81F33"/>
    <w:rsid w:val="00C85CAE"/>
    <w:rsid w:val="00CA3E67"/>
    <w:rsid w:val="00CC24D2"/>
    <w:rsid w:val="00CC5BAF"/>
    <w:rsid w:val="00CD5FEB"/>
    <w:rsid w:val="00CE3929"/>
    <w:rsid w:val="00CE689B"/>
    <w:rsid w:val="00D2246C"/>
    <w:rsid w:val="00D346D0"/>
    <w:rsid w:val="00D67A89"/>
    <w:rsid w:val="00D9124C"/>
    <w:rsid w:val="00D97EA4"/>
    <w:rsid w:val="00DA1E33"/>
    <w:rsid w:val="00DB07F7"/>
    <w:rsid w:val="00DB454D"/>
    <w:rsid w:val="00DC2C1F"/>
    <w:rsid w:val="00DD70B9"/>
    <w:rsid w:val="00E15B2C"/>
    <w:rsid w:val="00E2177E"/>
    <w:rsid w:val="00E37813"/>
    <w:rsid w:val="00E533E5"/>
    <w:rsid w:val="00E717AB"/>
    <w:rsid w:val="00E759E4"/>
    <w:rsid w:val="00E938A2"/>
    <w:rsid w:val="00E94D4C"/>
    <w:rsid w:val="00E96E7D"/>
    <w:rsid w:val="00EC5277"/>
    <w:rsid w:val="00ED7C09"/>
    <w:rsid w:val="00F2789B"/>
    <w:rsid w:val="00F32B59"/>
    <w:rsid w:val="00F36821"/>
    <w:rsid w:val="00F70CF1"/>
    <w:rsid w:val="00F7285B"/>
    <w:rsid w:val="00F7726F"/>
    <w:rsid w:val="00FA2393"/>
    <w:rsid w:val="00FD742B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0C15A0"/>
  <w15:docId w15:val="{38735342-1DC6-4F64-BD91-831D5F888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254152"/>
  </w:style>
  <w:style w:type="paragraph" w:styleId="Nadpis1">
    <w:name w:val="heading 1"/>
    <w:basedOn w:val="Normln"/>
    <w:next w:val="Normln"/>
    <w:link w:val="Nadpis1Char"/>
    <w:uiPriority w:val="9"/>
    <w:rsid w:val="00FF2F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FF2F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51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51FE8"/>
  </w:style>
  <w:style w:type="paragraph" w:styleId="Zpat">
    <w:name w:val="footer"/>
    <w:basedOn w:val="Normln"/>
    <w:link w:val="ZpatChar"/>
    <w:uiPriority w:val="99"/>
    <w:unhideWhenUsed/>
    <w:rsid w:val="00951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FE8"/>
  </w:style>
  <w:style w:type="paragraph" w:styleId="Textbubliny">
    <w:name w:val="Balloon Text"/>
    <w:basedOn w:val="Normln"/>
    <w:link w:val="TextbublinyChar"/>
    <w:uiPriority w:val="99"/>
    <w:semiHidden/>
    <w:unhideWhenUsed/>
    <w:rsid w:val="0095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FE8"/>
    <w:rPr>
      <w:rFonts w:ascii="Tahoma" w:hAnsi="Tahoma" w:cs="Tahoma"/>
      <w:sz w:val="16"/>
      <w:szCs w:val="16"/>
    </w:rPr>
  </w:style>
  <w:style w:type="paragraph" w:customStyle="1" w:styleId="JDtext">
    <w:name w:val="JD_text"/>
    <w:basedOn w:val="Normln"/>
    <w:qFormat/>
    <w:rsid w:val="00401D8A"/>
    <w:pPr>
      <w:spacing w:before="120" w:after="120" w:line="240" w:lineRule="auto"/>
      <w:jc w:val="both"/>
    </w:pPr>
    <w:rPr>
      <w:rFonts w:ascii="Arial" w:hAnsi="Arial" w:cs="Arial"/>
      <w:color w:val="000000" w:themeColor="text1"/>
    </w:rPr>
  </w:style>
  <w:style w:type="paragraph" w:styleId="Odstavecseseznamem">
    <w:name w:val="List Paragraph"/>
    <w:basedOn w:val="Normln"/>
    <w:uiPriority w:val="34"/>
    <w:rsid w:val="00951FE8"/>
    <w:pPr>
      <w:ind w:left="720"/>
      <w:contextualSpacing/>
    </w:pPr>
  </w:style>
  <w:style w:type="paragraph" w:customStyle="1" w:styleId="JDpodnadpis">
    <w:name w:val="JD_podnadpis"/>
    <w:basedOn w:val="JDtext"/>
    <w:qFormat/>
    <w:rsid w:val="00CC24D2"/>
    <w:pPr>
      <w:spacing w:before="240" w:after="60"/>
      <w:jc w:val="left"/>
    </w:pPr>
    <w:rPr>
      <w:b/>
    </w:rPr>
  </w:style>
  <w:style w:type="paragraph" w:customStyle="1" w:styleId="JDnadpis">
    <w:name w:val="JD_nadpis"/>
    <w:basedOn w:val="JDpodnadpis"/>
    <w:qFormat/>
    <w:rsid w:val="00CC24D2"/>
    <w:pPr>
      <w:spacing w:before="360" w:after="120"/>
    </w:pPr>
    <w:rPr>
      <w:caps/>
      <w:sz w:val="24"/>
    </w:rPr>
  </w:style>
  <w:style w:type="character" w:styleId="Hypertextovodkaz">
    <w:name w:val="Hyperlink"/>
    <w:basedOn w:val="Standardnpsmoodstavce"/>
    <w:uiPriority w:val="99"/>
    <w:unhideWhenUsed/>
    <w:rsid w:val="00A46C60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A46C60"/>
  </w:style>
  <w:style w:type="paragraph" w:styleId="Zkladntext">
    <w:name w:val="Body Text"/>
    <w:basedOn w:val="Normln"/>
    <w:link w:val="ZkladntextChar"/>
    <w:rsid w:val="00512C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12CA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ormln"/>
    <w:rsid w:val="0051136B"/>
    <w:pPr>
      <w:suppressAutoHyphens/>
      <w:spacing w:after="0" w:line="240" w:lineRule="auto"/>
      <w:ind w:firstLine="624"/>
      <w:jc w:val="both"/>
    </w:pPr>
    <w:rPr>
      <w:rFonts w:ascii="Tahoma" w:eastAsia="Times New Roman" w:hAnsi="Tahoma" w:cs="Times New Roman"/>
      <w:szCs w:val="2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FF2F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2F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DD70B9"/>
    <w:pPr>
      <w:tabs>
        <w:tab w:val="left" w:pos="390"/>
        <w:tab w:val="right" w:pos="9060"/>
      </w:tabs>
      <w:spacing w:before="240" w:after="120"/>
    </w:pPr>
    <w:rPr>
      <w:rFonts w:ascii="Arial" w:hAnsi="Arial" w:cs="Arial"/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FF2FB4"/>
    <w:pPr>
      <w:spacing w:after="0"/>
    </w:pPr>
    <w:rPr>
      <w:b/>
      <w:bCs/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FF2FB4"/>
    <w:pPr>
      <w:spacing w:after="0"/>
    </w:pPr>
    <w:rPr>
      <w:smallCaps/>
    </w:rPr>
  </w:style>
  <w:style w:type="paragraph" w:styleId="Obsah4">
    <w:name w:val="toc 4"/>
    <w:basedOn w:val="Normln"/>
    <w:next w:val="Normln"/>
    <w:autoRedefine/>
    <w:uiPriority w:val="39"/>
    <w:unhideWhenUsed/>
    <w:rsid w:val="00FF2FB4"/>
    <w:pPr>
      <w:spacing w:after="0"/>
    </w:pPr>
  </w:style>
  <w:style w:type="paragraph" w:styleId="Obsah5">
    <w:name w:val="toc 5"/>
    <w:basedOn w:val="Normln"/>
    <w:next w:val="Normln"/>
    <w:autoRedefine/>
    <w:uiPriority w:val="39"/>
    <w:unhideWhenUsed/>
    <w:rsid w:val="00FF2FB4"/>
    <w:pPr>
      <w:spacing w:after="0"/>
    </w:pPr>
  </w:style>
  <w:style w:type="paragraph" w:styleId="Obsah6">
    <w:name w:val="toc 6"/>
    <w:basedOn w:val="Normln"/>
    <w:next w:val="Normln"/>
    <w:autoRedefine/>
    <w:uiPriority w:val="39"/>
    <w:unhideWhenUsed/>
    <w:rsid w:val="00FF2FB4"/>
    <w:pPr>
      <w:spacing w:after="0"/>
    </w:pPr>
  </w:style>
  <w:style w:type="paragraph" w:styleId="Obsah7">
    <w:name w:val="toc 7"/>
    <w:basedOn w:val="Normln"/>
    <w:next w:val="Normln"/>
    <w:autoRedefine/>
    <w:uiPriority w:val="39"/>
    <w:unhideWhenUsed/>
    <w:rsid w:val="00FF2FB4"/>
    <w:pPr>
      <w:spacing w:after="0"/>
    </w:pPr>
  </w:style>
  <w:style w:type="paragraph" w:styleId="Obsah8">
    <w:name w:val="toc 8"/>
    <w:basedOn w:val="Normln"/>
    <w:next w:val="Normln"/>
    <w:autoRedefine/>
    <w:uiPriority w:val="39"/>
    <w:unhideWhenUsed/>
    <w:rsid w:val="00FF2FB4"/>
    <w:pPr>
      <w:spacing w:after="0"/>
    </w:pPr>
  </w:style>
  <w:style w:type="paragraph" w:styleId="Obsah9">
    <w:name w:val="toc 9"/>
    <w:basedOn w:val="Normln"/>
    <w:next w:val="Normln"/>
    <w:autoRedefine/>
    <w:uiPriority w:val="39"/>
    <w:unhideWhenUsed/>
    <w:rsid w:val="00FF2FB4"/>
    <w:pPr>
      <w:spacing w:after="0"/>
    </w:pPr>
  </w:style>
  <w:style w:type="paragraph" w:customStyle="1" w:styleId="JDobsah1">
    <w:name w:val="JD_obsah.1"/>
    <w:basedOn w:val="Obsah1"/>
    <w:qFormat/>
    <w:rsid w:val="00A0056A"/>
  </w:style>
  <w:style w:type="paragraph" w:customStyle="1" w:styleId="JDobsah2">
    <w:name w:val="JD_obsah.2"/>
    <w:basedOn w:val="Obsah2"/>
    <w:qFormat/>
    <w:rsid w:val="00A0056A"/>
    <w:pPr>
      <w:tabs>
        <w:tab w:val="left" w:pos="561"/>
        <w:tab w:val="right" w:pos="9060"/>
      </w:tabs>
    </w:pPr>
    <w:rPr>
      <w:rFonts w:ascii="Arial" w:hAnsi="Arial" w:cs="Arial"/>
      <w:b w:val="0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echsler@dreva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5</Pages>
  <Words>1788</Words>
  <Characters>10553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Jan Drechsler</dc:creator>
  <cp:keywords/>
  <dc:description/>
  <cp:lastModifiedBy>jan_drechsler</cp:lastModifiedBy>
  <cp:revision>24</cp:revision>
  <dcterms:created xsi:type="dcterms:W3CDTF">2014-07-10T12:27:00Z</dcterms:created>
  <dcterms:modified xsi:type="dcterms:W3CDTF">2018-12-11T00:09:00Z</dcterms:modified>
</cp:coreProperties>
</file>